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7B0B2" w14:textId="77777777" w:rsidR="00EA406B" w:rsidRDefault="00EA406B">
      <w:pPr>
        <w:rPr>
          <w:rFonts w:eastAsia="Times New Roman"/>
          <w:kern w:val="0"/>
          <w14:ligatures w14:val="none"/>
        </w:rPr>
      </w:pPr>
    </w:p>
    <w:p w14:paraId="36D2A123" w14:textId="77777777" w:rsidR="00EA406B" w:rsidRDefault="00EA406B">
      <w:pPr>
        <w:pStyle w:val="NormalWeb"/>
        <w:spacing w:before="0" w:beforeAutospacing="0" w:after="120" w:afterAutospacing="0"/>
        <w:jc w:val="center"/>
      </w:pPr>
      <w:r>
        <w:rPr>
          <w:b/>
          <w:bCs/>
          <w:color w:val="1F4E79"/>
          <w:sz w:val="30"/>
          <w:szCs w:val="30"/>
        </w:rPr>
        <w:t>RIVERS STATE UNIVERSITY</w:t>
      </w:r>
    </w:p>
    <w:p w14:paraId="497C9AF3" w14:textId="3800C437" w:rsidR="00EA406B" w:rsidRDefault="00EA406B">
      <w:pPr>
        <w:pStyle w:val="NormalWeb"/>
        <w:spacing w:before="0" w:beforeAutospacing="0" w:after="80" w:afterAutospacing="0"/>
        <w:jc w:val="center"/>
      </w:pPr>
      <w:r>
        <w:rPr>
          <w:color w:val="000000"/>
        </w:rPr>
        <w:t>Faculty of  Science</w:t>
      </w:r>
    </w:p>
    <w:p w14:paraId="4C5130F2" w14:textId="39DE87DF" w:rsidR="00EA406B" w:rsidRDefault="00EA406B">
      <w:pPr>
        <w:pStyle w:val="NormalWeb"/>
        <w:spacing w:before="0" w:beforeAutospacing="0" w:after="300" w:afterAutospacing="0"/>
        <w:jc w:val="center"/>
      </w:pPr>
      <w:r>
        <w:rPr>
          <w:color w:val="000000"/>
        </w:rPr>
        <w:t>Department of Maritime Science</w:t>
      </w:r>
      <w:r w:rsidR="009A19CF">
        <w:rPr>
          <w:color w:val="000000"/>
        </w:rPr>
        <w:t xml:space="preserve"> </w:t>
      </w:r>
    </w:p>
    <w:p w14:paraId="73F3A5F8" w14:textId="77777777" w:rsidR="00EA406B" w:rsidRDefault="00EA406B">
      <w:pPr>
        <w:rPr>
          <w:rFonts w:eastAsia="Times New Roman"/>
        </w:rPr>
      </w:pPr>
    </w:p>
    <w:p w14:paraId="65331C31" w14:textId="77777777" w:rsidR="00EA406B" w:rsidRDefault="00EA406B">
      <w:pPr>
        <w:pStyle w:val="NormalWeb"/>
        <w:spacing w:before="0" w:beforeAutospacing="0" w:after="80" w:afterAutospacing="0"/>
        <w:jc w:val="center"/>
      </w:pPr>
      <w:r>
        <w:rPr>
          <w:color w:val="000000"/>
        </w:rPr>
        <w:t>COURSE CODE: MTS 412</w:t>
      </w:r>
    </w:p>
    <w:p w14:paraId="74CD82CD" w14:textId="77777777" w:rsidR="00EA406B" w:rsidRDefault="00EA406B">
      <w:pPr>
        <w:pStyle w:val="NormalWeb"/>
        <w:spacing w:before="0" w:beforeAutospacing="0" w:after="300" w:afterAutospacing="0"/>
        <w:jc w:val="center"/>
      </w:pPr>
      <w:r>
        <w:rPr>
          <w:b/>
          <w:bCs/>
          <w:color w:val="1F4E79"/>
          <w:sz w:val="32"/>
          <w:szCs w:val="32"/>
        </w:rPr>
        <w:t>COASTAL NAVIGATION</w:t>
      </w:r>
    </w:p>
    <w:p w14:paraId="0B1FEE1C" w14:textId="77777777" w:rsidR="00EA406B" w:rsidRDefault="00EA406B">
      <w:pPr>
        <w:pStyle w:val="NormalWeb"/>
        <w:spacing w:before="0" w:beforeAutospacing="0" w:after="200" w:afterAutospacing="0"/>
        <w:jc w:val="center"/>
      </w:pPr>
      <w:r>
        <w:rPr>
          <w:b/>
          <w:bCs/>
          <w:color w:val="2E74B5"/>
          <w:sz w:val="28"/>
          <w:szCs w:val="28"/>
        </w:rPr>
        <w:t>ASSIGNMENT NO. 2</w:t>
      </w:r>
    </w:p>
    <w:p w14:paraId="62FE5068" w14:textId="77777777" w:rsidR="00EA406B" w:rsidRDefault="00EA406B">
      <w:pPr>
        <w:rPr>
          <w:rFonts w:eastAsia="Times New Roman"/>
        </w:rPr>
      </w:pPr>
    </w:p>
    <w:p w14:paraId="515F9460" w14:textId="77777777" w:rsidR="00EA406B" w:rsidRDefault="00EA406B">
      <w:pPr>
        <w:pStyle w:val="NormalWeb"/>
        <w:spacing w:before="0" w:beforeAutospacing="0" w:after="60" w:afterAutospacing="0"/>
        <w:jc w:val="center"/>
      </w:pPr>
      <w:r>
        <w:rPr>
          <w:color w:val="000000"/>
          <w:sz w:val="22"/>
          <w:szCs w:val="22"/>
        </w:rPr>
        <w:t>A Comprehensive Academic Assignment Submitted in Partial Fulfilment</w:t>
      </w:r>
    </w:p>
    <w:p w14:paraId="5ACC049C" w14:textId="77777777" w:rsidR="00EA406B" w:rsidRDefault="00EA406B">
      <w:pPr>
        <w:pStyle w:val="NormalWeb"/>
        <w:spacing w:before="0" w:beforeAutospacing="0" w:after="60" w:afterAutospacing="0"/>
        <w:jc w:val="center"/>
      </w:pPr>
      <w:r>
        <w:rPr>
          <w:color w:val="000000"/>
          <w:sz w:val="22"/>
          <w:szCs w:val="22"/>
        </w:rPr>
        <w:t>of the Requirements for the Award of Bachelor of Science (B.Sc.)</w:t>
      </w:r>
    </w:p>
    <w:p w14:paraId="5FD9B76D" w14:textId="77777777" w:rsidR="00EA406B" w:rsidRDefault="00EA406B">
      <w:pPr>
        <w:pStyle w:val="NormalWeb"/>
        <w:spacing w:before="0" w:beforeAutospacing="0" w:after="300" w:afterAutospacing="0"/>
        <w:jc w:val="center"/>
      </w:pPr>
      <w:r>
        <w:rPr>
          <w:color w:val="000000"/>
          <w:sz w:val="22"/>
          <w:szCs w:val="22"/>
        </w:rPr>
        <w:t>in Maritime Science and Technology</w:t>
      </w:r>
    </w:p>
    <w:p w14:paraId="530D81B8" w14:textId="77777777" w:rsidR="00EA406B" w:rsidRDefault="00EA406B">
      <w:pPr>
        <w:rPr>
          <w:rFonts w:eastAsia="Times New Roman"/>
        </w:rPr>
      </w:pPr>
    </w:p>
    <w:p w14:paraId="4836444A" w14:textId="77777777" w:rsidR="00EA406B" w:rsidRDefault="00EA406B">
      <w:pPr>
        <w:pStyle w:val="NormalWeb"/>
        <w:spacing w:before="0" w:beforeAutospacing="0" w:after="80" w:afterAutospacing="0"/>
        <w:jc w:val="center"/>
      </w:pPr>
      <w:r>
        <w:rPr>
          <w:b/>
          <w:bCs/>
          <w:color w:val="000000"/>
          <w:sz w:val="22"/>
          <w:szCs w:val="22"/>
        </w:rPr>
        <w:t>SUBMITTED BY:</w:t>
      </w:r>
    </w:p>
    <w:p w14:paraId="64E6998E" w14:textId="4CE16139" w:rsidR="00EA406B" w:rsidRDefault="00EA406B">
      <w:pPr>
        <w:pStyle w:val="NormalWeb"/>
        <w:spacing w:before="0" w:beforeAutospacing="0" w:after="60" w:afterAutospacing="0"/>
        <w:jc w:val="center"/>
        <w:rPr>
          <w:color w:val="000000"/>
        </w:rPr>
      </w:pPr>
      <w:r>
        <w:rPr>
          <w:color w:val="000000"/>
        </w:rPr>
        <w:t>Michael</w:t>
      </w:r>
      <w:r w:rsidR="009A19CF">
        <w:rPr>
          <w:color w:val="000000"/>
        </w:rPr>
        <w:t xml:space="preserve"> </w:t>
      </w:r>
      <w:proofErr w:type="spellStart"/>
      <w:r w:rsidR="009A19CF">
        <w:rPr>
          <w:color w:val="000000"/>
        </w:rPr>
        <w:t>Banigo</w:t>
      </w:r>
      <w:proofErr w:type="spellEnd"/>
      <w:r w:rsidR="009A19CF">
        <w:rPr>
          <w:color w:val="000000"/>
        </w:rPr>
        <w:t xml:space="preserve"> </w:t>
      </w:r>
    </w:p>
    <w:p w14:paraId="59316197" w14:textId="49AF2076" w:rsidR="00063256" w:rsidRDefault="00063256">
      <w:pPr>
        <w:pStyle w:val="NormalWeb"/>
        <w:spacing w:before="0" w:beforeAutospacing="0" w:after="60" w:afterAutospacing="0"/>
        <w:jc w:val="center"/>
      </w:pPr>
      <w:r>
        <w:rPr>
          <w:color w:val="000000"/>
        </w:rPr>
        <w:t>DE2022/0347</w:t>
      </w:r>
    </w:p>
    <w:p w14:paraId="7D9DD225" w14:textId="326F4F42" w:rsidR="00EA406B" w:rsidRDefault="00EA406B">
      <w:pPr>
        <w:pStyle w:val="NormalWeb"/>
        <w:spacing w:before="0" w:beforeAutospacing="0" w:after="60" w:afterAutospacing="0"/>
        <w:jc w:val="center"/>
      </w:pPr>
      <w:r>
        <w:rPr>
          <w:color w:val="000000"/>
          <w:sz w:val="22"/>
          <w:szCs w:val="22"/>
        </w:rPr>
        <w:t>Department of Maritime Science</w:t>
      </w:r>
    </w:p>
    <w:p w14:paraId="2A93D56C" w14:textId="49356604" w:rsidR="00EA406B" w:rsidRDefault="00EA406B">
      <w:pPr>
        <w:pStyle w:val="NormalWeb"/>
        <w:spacing w:before="0" w:beforeAutospacing="0" w:after="60" w:afterAutospacing="0"/>
        <w:jc w:val="center"/>
      </w:pPr>
      <w:r>
        <w:rPr>
          <w:color w:val="000000"/>
          <w:sz w:val="22"/>
          <w:szCs w:val="22"/>
        </w:rPr>
        <w:t>Faculty of  Sciences</w:t>
      </w:r>
    </w:p>
    <w:p w14:paraId="046F4D01" w14:textId="77777777" w:rsidR="00EA406B" w:rsidRDefault="00EA406B">
      <w:pPr>
        <w:pStyle w:val="NormalWeb"/>
        <w:spacing w:before="0" w:beforeAutospacing="0" w:after="300" w:afterAutospacing="0"/>
        <w:jc w:val="center"/>
      </w:pPr>
      <w:r>
        <w:rPr>
          <w:color w:val="000000"/>
          <w:sz w:val="22"/>
          <w:szCs w:val="22"/>
        </w:rPr>
        <w:t>Rivers State University, Port Harcourt, Nigeria</w:t>
      </w:r>
    </w:p>
    <w:p w14:paraId="3CE9DEC1" w14:textId="77777777" w:rsidR="00EA406B" w:rsidRDefault="00EA406B">
      <w:pPr>
        <w:pStyle w:val="NormalWeb"/>
        <w:spacing w:before="0" w:beforeAutospacing="0" w:after="80" w:afterAutospacing="0"/>
        <w:jc w:val="center"/>
      </w:pPr>
      <w:r>
        <w:rPr>
          <w:b/>
          <w:bCs/>
          <w:color w:val="000000"/>
          <w:sz w:val="22"/>
          <w:szCs w:val="22"/>
        </w:rPr>
        <w:t>SUBMITTED TO:</w:t>
      </w:r>
    </w:p>
    <w:p w14:paraId="12812867" w14:textId="77777777" w:rsidR="008F14D6" w:rsidRDefault="008F14D6">
      <w:pPr>
        <w:pStyle w:val="NormalWeb"/>
        <w:spacing w:before="0" w:beforeAutospacing="0" w:after="300" w:afterAutospacing="0"/>
        <w:jc w:val="center"/>
        <w:rPr>
          <w:color w:val="000000"/>
          <w:sz w:val="22"/>
          <w:szCs w:val="22"/>
        </w:rPr>
      </w:pPr>
      <w:r>
        <w:rPr>
          <w:color w:val="000000"/>
          <w:sz w:val="22"/>
          <w:szCs w:val="22"/>
        </w:rPr>
        <w:t xml:space="preserve">CAPTAIN ELEYI ELIAS </w:t>
      </w:r>
    </w:p>
    <w:p w14:paraId="73135F36" w14:textId="5E18A5B2" w:rsidR="00EA406B" w:rsidRDefault="00EA406B">
      <w:pPr>
        <w:pStyle w:val="NormalWeb"/>
        <w:spacing w:before="0" w:beforeAutospacing="0" w:after="300" w:afterAutospacing="0"/>
        <w:jc w:val="center"/>
      </w:pPr>
      <w:r>
        <w:rPr>
          <w:color w:val="000000"/>
          <w:sz w:val="22"/>
          <w:szCs w:val="22"/>
        </w:rPr>
        <w:t xml:space="preserve"> MTS 412: Coastal Navigation</w:t>
      </w:r>
    </w:p>
    <w:p w14:paraId="4938974C" w14:textId="77777777" w:rsidR="00EA406B" w:rsidRDefault="00EA406B">
      <w:pPr>
        <w:pStyle w:val="NormalWeb"/>
        <w:spacing w:before="0" w:beforeAutospacing="0" w:after="120" w:afterAutospacing="0"/>
        <w:jc w:val="center"/>
      </w:pPr>
      <w:r>
        <w:rPr>
          <w:b/>
          <w:bCs/>
          <w:color w:val="1F4E79"/>
          <w:sz w:val="22"/>
          <w:szCs w:val="22"/>
        </w:rPr>
        <w:t>DATE OF SUBMISSION: June 15, 2026</w:t>
      </w:r>
    </w:p>
    <w:p w14:paraId="19C73F87" w14:textId="4F7E67A0" w:rsidR="00EA406B" w:rsidRDefault="00EA406B">
      <w:pPr>
        <w:pStyle w:val="NormalWeb"/>
        <w:spacing w:before="0" w:beforeAutospacing="0" w:after="200" w:afterAutospacing="0"/>
        <w:rPr>
          <w:b/>
          <w:bCs/>
          <w:smallCaps/>
          <w:color w:val="1F4E79"/>
          <w:sz w:val="28"/>
          <w:szCs w:val="28"/>
        </w:rPr>
      </w:pPr>
    </w:p>
    <w:p w14:paraId="0702BAD1" w14:textId="77777777" w:rsidR="00277D83" w:rsidRDefault="00277D83">
      <w:pPr>
        <w:pStyle w:val="NormalWeb"/>
        <w:spacing w:before="0" w:beforeAutospacing="0" w:after="200" w:afterAutospacing="0"/>
        <w:rPr>
          <w:b/>
          <w:bCs/>
          <w:smallCaps/>
          <w:color w:val="1F4E79"/>
          <w:sz w:val="28"/>
          <w:szCs w:val="28"/>
        </w:rPr>
      </w:pPr>
    </w:p>
    <w:p w14:paraId="4CD56185" w14:textId="77777777" w:rsidR="00277D83" w:rsidRDefault="00277D83">
      <w:pPr>
        <w:pStyle w:val="NormalWeb"/>
        <w:spacing w:before="0" w:beforeAutospacing="0" w:after="200" w:afterAutospacing="0"/>
        <w:rPr>
          <w:b/>
          <w:bCs/>
          <w:smallCaps/>
          <w:color w:val="1F4E79"/>
          <w:sz w:val="28"/>
          <w:szCs w:val="28"/>
        </w:rPr>
      </w:pPr>
    </w:p>
    <w:p w14:paraId="11B18019" w14:textId="77777777" w:rsidR="00277D83" w:rsidRDefault="00277D83">
      <w:pPr>
        <w:pStyle w:val="NormalWeb"/>
        <w:spacing w:before="0" w:beforeAutospacing="0" w:after="200" w:afterAutospacing="0"/>
        <w:rPr>
          <w:b/>
          <w:bCs/>
          <w:smallCaps/>
          <w:color w:val="1F4E79"/>
          <w:sz w:val="28"/>
          <w:szCs w:val="28"/>
        </w:rPr>
      </w:pPr>
    </w:p>
    <w:p w14:paraId="53B3C94A" w14:textId="77777777" w:rsidR="00277D83" w:rsidRDefault="00277D83">
      <w:pPr>
        <w:pStyle w:val="NormalWeb"/>
        <w:spacing w:before="0" w:beforeAutospacing="0" w:after="200" w:afterAutospacing="0"/>
      </w:pPr>
    </w:p>
    <w:p w14:paraId="2315D628" w14:textId="7B939FC4" w:rsidR="00277D83" w:rsidRDefault="00EA406B" w:rsidP="00277D83">
      <w:pPr>
        <w:pStyle w:val="NormalWeb"/>
        <w:spacing w:before="0" w:beforeAutospacing="0" w:after="200" w:afterAutospacing="0"/>
        <w:jc w:val="center"/>
      </w:pPr>
      <w:r>
        <w:rPr>
          <w:b/>
          <w:bCs/>
          <w:smallCaps/>
          <w:color w:val="1F4E79"/>
          <w:sz w:val="28"/>
          <w:szCs w:val="28"/>
        </w:rPr>
        <w:lastRenderedPageBreak/>
        <w:t>TABLE OF CONTENTS</w:t>
      </w:r>
    </w:p>
    <w:p w14:paraId="445F5DA8" w14:textId="77777777" w:rsidR="00EA406B" w:rsidRDefault="00EA406B">
      <w:pPr>
        <w:pStyle w:val="NormalWeb"/>
        <w:spacing w:before="0" w:beforeAutospacing="0" w:after="120" w:afterAutospacing="0"/>
      </w:pPr>
      <w:r>
        <w:rPr>
          <w:b/>
          <w:bCs/>
          <w:color w:val="1F4E79"/>
          <w:sz w:val="22"/>
          <w:szCs w:val="22"/>
        </w:rPr>
        <w:t>GENERAL INTRODUCTION</w:t>
      </w:r>
      <w:r>
        <w:rPr>
          <w:color w:val="595959"/>
          <w:sz w:val="22"/>
          <w:szCs w:val="22"/>
        </w:rPr>
        <w:t>4</w:t>
      </w:r>
    </w:p>
    <w:p w14:paraId="1998C768" w14:textId="77777777" w:rsidR="00EA406B" w:rsidRDefault="00EA406B">
      <w:pPr>
        <w:pStyle w:val="NormalWeb"/>
        <w:spacing w:before="0" w:beforeAutospacing="0" w:after="120" w:afterAutospacing="0"/>
      </w:pPr>
      <w:r>
        <w:rPr>
          <w:b/>
          <w:bCs/>
          <w:color w:val="1F4E79"/>
          <w:sz w:val="22"/>
          <w:szCs w:val="22"/>
        </w:rPr>
        <w:t>QUESTION 1: The Global Maritime Distress and Safety System (GMDSS)</w:t>
      </w:r>
      <w:r>
        <w:rPr>
          <w:color w:val="595959"/>
          <w:sz w:val="22"/>
          <w:szCs w:val="22"/>
        </w:rPr>
        <w:t>5</w:t>
      </w:r>
    </w:p>
    <w:p w14:paraId="15269E4D" w14:textId="77777777" w:rsidR="00EA406B" w:rsidRDefault="00EA406B">
      <w:pPr>
        <w:pStyle w:val="NormalWeb"/>
        <w:spacing w:before="0" w:beforeAutospacing="0" w:after="120" w:afterAutospacing="0"/>
        <w:ind w:left="480"/>
      </w:pPr>
      <w:r>
        <w:rPr>
          <w:color w:val="000000"/>
          <w:sz w:val="20"/>
          <w:szCs w:val="20"/>
        </w:rPr>
        <w:t>1.1  Background and Historical Context</w:t>
      </w:r>
      <w:r>
        <w:rPr>
          <w:color w:val="595959"/>
          <w:sz w:val="20"/>
          <w:szCs w:val="20"/>
        </w:rPr>
        <w:t>5</w:t>
      </w:r>
    </w:p>
    <w:p w14:paraId="0593A853" w14:textId="77777777" w:rsidR="00EA406B" w:rsidRDefault="00EA406B">
      <w:pPr>
        <w:pStyle w:val="NormalWeb"/>
        <w:spacing w:before="0" w:beforeAutospacing="0" w:after="120" w:afterAutospacing="0"/>
        <w:ind w:left="480"/>
      </w:pPr>
      <w:r>
        <w:rPr>
          <w:color w:val="000000"/>
          <w:sz w:val="20"/>
          <w:szCs w:val="20"/>
        </w:rPr>
        <w:t>1.2  GMDSS Sea Areas and Equipment Framework</w:t>
      </w:r>
      <w:r>
        <w:rPr>
          <w:color w:val="595959"/>
          <w:sz w:val="20"/>
          <w:szCs w:val="20"/>
        </w:rPr>
        <w:t>6</w:t>
      </w:r>
    </w:p>
    <w:p w14:paraId="0CAD1C0C" w14:textId="77777777" w:rsidR="00EA406B" w:rsidRDefault="00EA406B">
      <w:pPr>
        <w:pStyle w:val="NormalWeb"/>
        <w:spacing w:before="0" w:beforeAutospacing="0" w:after="120" w:afterAutospacing="0"/>
        <w:ind w:left="480"/>
      </w:pPr>
      <w:r>
        <w:rPr>
          <w:color w:val="000000"/>
          <w:sz w:val="20"/>
          <w:szCs w:val="20"/>
        </w:rPr>
        <w:t>1.3  The Four Core Components of GMDSS</w:t>
      </w:r>
      <w:r>
        <w:rPr>
          <w:color w:val="595959"/>
          <w:sz w:val="20"/>
          <w:szCs w:val="20"/>
        </w:rPr>
        <w:t>7</w:t>
      </w:r>
    </w:p>
    <w:p w14:paraId="6819AC0F" w14:textId="77777777" w:rsidR="00EA406B" w:rsidRDefault="00EA406B">
      <w:pPr>
        <w:pStyle w:val="NormalWeb"/>
        <w:spacing w:before="0" w:beforeAutospacing="0" w:after="120" w:afterAutospacing="0"/>
        <w:ind w:left="960"/>
      </w:pPr>
      <w:r>
        <w:rPr>
          <w:color w:val="000000"/>
          <w:sz w:val="20"/>
          <w:szCs w:val="20"/>
        </w:rPr>
        <w:t>1.3.1  Component 1 — Distress Alerting</w:t>
      </w:r>
      <w:r>
        <w:rPr>
          <w:color w:val="595959"/>
          <w:sz w:val="20"/>
          <w:szCs w:val="20"/>
        </w:rPr>
        <w:t>7</w:t>
      </w:r>
    </w:p>
    <w:p w14:paraId="3BEAA207" w14:textId="77777777" w:rsidR="00EA406B" w:rsidRDefault="00EA406B">
      <w:pPr>
        <w:pStyle w:val="NormalWeb"/>
        <w:spacing w:before="0" w:beforeAutospacing="0" w:after="120" w:afterAutospacing="0"/>
        <w:ind w:left="960"/>
      </w:pPr>
      <w:r>
        <w:rPr>
          <w:color w:val="000000"/>
          <w:sz w:val="20"/>
          <w:szCs w:val="20"/>
        </w:rPr>
        <w:t>1.3.2  Component 2 — SAR Coordination</w:t>
      </w:r>
      <w:r>
        <w:rPr>
          <w:color w:val="595959"/>
          <w:sz w:val="20"/>
          <w:szCs w:val="20"/>
        </w:rPr>
        <w:t>9</w:t>
      </w:r>
    </w:p>
    <w:p w14:paraId="3356B392" w14:textId="77777777" w:rsidR="00EA406B" w:rsidRDefault="00EA406B">
      <w:pPr>
        <w:pStyle w:val="NormalWeb"/>
        <w:spacing w:before="0" w:beforeAutospacing="0" w:after="120" w:afterAutospacing="0"/>
        <w:ind w:left="960"/>
      </w:pPr>
      <w:r>
        <w:rPr>
          <w:color w:val="000000"/>
          <w:sz w:val="20"/>
          <w:szCs w:val="20"/>
        </w:rPr>
        <w:t>1.3.3  Component 3 — Locating</w:t>
      </w:r>
      <w:r>
        <w:rPr>
          <w:color w:val="595959"/>
          <w:sz w:val="20"/>
          <w:szCs w:val="20"/>
        </w:rPr>
        <w:t>10</w:t>
      </w:r>
    </w:p>
    <w:p w14:paraId="2033B764" w14:textId="77777777" w:rsidR="00EA406B" w:rsidRDefault="00EA406B">
      <w:pPr>
        <w:pStyle w:val="NormalWeb"/>
        <w:spacing w:before="0" w:beforeAutospacing="0" w:after="120" w:afterAutospacing="0"/>
        <w:ind w:left="960"/>
      </w:pPr>
      <w:r>
        <w:rPr>
          <w:color w:val="000000"/>
          <w:sz w:val="20"/>
          <w:szCs w:val="20"/>
        </w:rPr>
        <w:t>1.3.4  Component 4 — Maritime Safety Information</w:t>
      </w:r>
      <w:r>
        <w:rPr>
          <w:color w:val="595959"/>
          <w:sz w:val="20"/>
          <w:szCs w:val="20"/>
        </w:rPr>
        <w:t>11</w:t>
      </w:r>
    </w:p>
    <w:p w14:paraId="7B0F3883" w14:textId="77777777" w:rsidR="00EA406B" w:rsidRDefault="00EA406B">
      <w:pPr>
        <w:pStyle w:val="NormalWeb"/>
        <w:spacing w:before="0" w:beforeAutospacing="0" w:after="120" w:afterAutospacing="0"/>
      </w:pPr>
      <w:r>
        <w:rPr>
          <w:b/>
          <w:bCs/>
          <w:color w:val="1F4E79"/>
          <w:sz w:val="22"/>
          <w:szCs w:val="22"/>
        </w:rPr>
        <w:t>QUESTION 2: Closest Point of Approach (CPA)</w:t>
      </w:r>
      <w:r>
        <w:rPr>
          <w:color w:val="595959"/>
          <w:sz w:val="22"/>
          <w:szCs w:val="22"/>
        </w:rPr>
        <w:t>13</w:t>
      </w:r>
    </w:p>
    <w:p w14:paraId="11F7FAD8" w14:textId="77777777" w:rsidR="00EA406B" w:rsidRDefault="00EA406B">
      <w:pPr>
        <w:pStyle w:val="NormalWeb"/>
        <w:spacing w:before="0" w:beforeAutospacing="0" w:after="120" w:afterAutospacing="0"/>
        <w:ind w:left="480"/>
      </w:pPr>
      <w:r>
        <w:rPr>
          <w:color w:val="000000"/>
          <w:sz w:val="20"/>
          <w:szCs w:val="20"/>
        </w:rPr>
        <w:t>2.1  Definition and Navigational Significance</w:t>
      </w:r>
      <w:r>
        <w:rPr>
          <w:color w:val="595959"/>
          <w:sz w:val="20"/>
          <w:szCs w:val="20"/>
        </w:rPr>
        <w:t>13</w:t>
      </w:r>
    </w:p>
    <w:p w14:paraId="715EF0AE" w14:textId="77777777" w:rsidR="00EA406B" w:rsidRDefault="00EA406B">
      <w:pPr>
        <w:pStyle w:val="NormalWeb"/>
        <w:spacing w:before="0" w:beforeAutospacing="0" w:after="120" w:afterAutospacing="0"/>
        <w:ind w:left="480"/>
      </w:pPr>
      <w:r>
        <w:rPr>
          <w:color w:val="000000"/>
          <w:sz w:val="20"/>
          <w:szCs w:val="20"/>
        </w:rPr>
        <w:t>2.2  The Mathematics of CPA — Relative Motion Theory</w:t>
      </w:r>
      <w:r>
        <w:rPr>
          <w:color w:val="595959"/>
          <w:sz w:val="20"/>
          <w:szCs w:val="20"/>
        </w:rPr>
        <w:t>14</w:t>
      </w:r>
    </w:p>
    <w:p w14:paraId="62443699" w14:textId="77777777" w:rsidR="00EA406B" w:rsidRDefault="00EA406B">
      <w:pPr>
        <w:pStyle w:val="NormalWeb"/>
        <w:spacing w:before="0" w:beforeAutospacing="0" w:after="120" w:afterAutospacing="0"/>
        <w:ind w:left="480"/>
      </w:pPr>
      <w:r>
        <w:rPr>
          <w:color w:val="000000"/>
          <w:sz w:val="20"/>
          <w:szCs w:val="20"/>
        </w:rPr>
        <w:t>2.3  ARPA and Automated CPA Computation</w:t>
      </w:r>
      <w:r>
        <w:rPr>
          <w:color w:val="595959"/>
          <w:sz w:val="20"/>
          <w:szCs w:val="20"/>
        </w:rPr>
        <w:t>15</w:t>
      </w:r>
    </w:p>
    <w:p w14:paraId="6DEF814B" w14:textId="77777777" w:rsidR="00EA406B" w:rsidRDefault="00EA406B">
      <w:pPr>
        <w:pStyle w:val="NormalWeb"/>
        <w:spacing w:before="0" w:beforeAutospacing="0" w:after="120" w:afterAutospacing="0"/>
        <w:ind w:left="480"/>
      </w:pPr>
      <w:r>
        <w:rPr>
          <w:color w:val="000000"/>
          <w:sz w:val="20"/>
          <w:szCs w:val="20"/>
        </w:rPr>
        <w:t>2.4  CPA in the Context of AIS</w:t>
      </w:r>
      <w:r>
        <w:rPr>
          <w:color w:val="595959"/>
          <w:sz w:val="20"/>
          <w:szCs w:val="20"/>
        </w:rPr>
        <w:t>16</w:t>
      </w:r>
    </w:p>
    <w:p w14:paraId="184001CD" w14:textId="77777777" w:rsidR="00EA406B" w:rsidRDefault="00EA406B">
      <w:pPr>
        <w:pStyle w:val="NormalWeb"/>
        <w:spacing w:before="0" w:beforeAutospacing="0" w:after="120" w:afterAutospacing="0"/>
        <w:ind w:left="480"/>
      </w:pPr>
      <w:r>
        <w:rPr>
          <w:color w:val="000000"/>
          <w:sz w:val="20"/>
          <w:szCs w:val="20"/>
        </w:rPr>
        <w:t>2.5  Effects of Course and Speed Alterations on CPA</w:t>
      </w:r>
      <w:r>
        <w:rPr>
          <w:color w:val="595959"/>
          <w:sz w:val="20"/>
          <w:szCs w:val="20"/>
        </w:rPr>
        <w:t>17</w:t>
      </w:r>
    </w:p>
    <w:p w14:paraId="6A91C9FF" w14:textId="77777777" w:rsidR="00EA406B" w:rsidRDefault="00EA406B">
      <w:pPr>
        <w:pStyle w:val="NormalWeb"/>
        <w:spacing w:before="0" w:beforeAutospacing="0" w:after="120" w:afterAutospacing="0"/>
      </w:pPr>
      <w:r>
        <w:rPr>
          <w:b/>
          <w:bCs/>
          <w:color w:val="1F4E79"/>
          <w:sz w:val="22"/>
          <w:szCs w:val="22"/>
        </w:rPr>
        <w:t>QUESTION 3: COLREG Rule 7 — Risk of Collision</w:t>
      </w:r>
      <w:r>
        <w:rPr>
          <w:color w:val="595959"/>
          <w:sz w:val="22"/>
          <w:szCs w:val="22"/>
        </w:rPr>
        <w:t>18</w:t>
      </w:r>
    </w:p>
    <w:p w14:paraId="75FF2223" w14:textId="77777777" w:rsidR="00EA406B" w:rsidRDefault="00EA406B">
      <w:pPr>
        <w:pStyle w:val="NormalWeb"/>
        <w:spacing w:before="0" w:beforeAutospacing="0" w:after="120" w:afterAutospacing="0"/>
        <w:ind w:left="480"/>
      </w:pPr>
      <w:r>
        <w:rPr>
          <w:color w:val="000000"/>
          <w:sz w:val="20"/>
          <w:szCs w:val="20"/>
        </w:rPr>
        <w:t>3.1  The International Regulations for Preventing Collisions at Sea</w:t>
      </w:r>
      <w:r>
        <w:rPr>
          <w:color w:val="595959"/>
          <w:sz w:val="20"/>
          <w:szCs w:val="20"/>
        </w:rPr>
        <w:t>18</w:t>
      </w:r>
    </w:p>
    <w:p w14:paraId="57CD8523" w14:textId="77777777" w:rsidR="00EA406B" w:rsidRDefault="00EA406B">
      <w:pPr>
        <w:pStyle w:val="NormalWeb"/>
        <w:spacing w:before="0" w:beforeAutospacing="0" w:after="120" w:afterAutospacing="0"/>
        <w:ind w:left="480"/>
      </w:pPr>
      <w:r>
        <w:rPr>
          <w:color w:val="000000"/>
          <w:sz w:val="20"/>
          <w:szCs w:val="20"/>
        </w:rPr>
        <w:t>3.2  Rule 7(a) — The Duty to Use All Available Means</w:t>
      </w:r>
      <w:r>
        <w:rPr>
          <w:color w:val="595959"/>
          <w:sz w:val="20"/>
          <w:szCs w:val="20"/>
        </w:rPr>
        <w:t>19</w:t>
      </w:r>
    </w:p>
    <w:p w14:paraId="02796344" w14:textId="77777777" w:rsidR="00EA406B" w:rsidRDefault="00EA406B">
      <w:pPr>
        <w:pStyle w:val="NormalWeb"/>
        <w:spacing w:before="0" w:beforeAutospacing="0" w:after="120" w:afterAutospacing="0"/>
        <w:ind w:left="480"/>
      </w:pPr>
      <w:r>
        <w:rPr>
          <w:color w:val="000000"/>
          <w:sz w:val="20"/>
          <w:szCs w:val="20"/>
        </w:rPr>
        <w:t>3.3  Rule 7(b) — Proper Use of Radar and Radar Plotting</w:t>
      </w:r>
      <w:r>
        <w:rPr>
          <w:color w:val="595959"/>
          <w:sz w:val="20"/>
          <w:szCs w:val="20"/>
        </w:rPr>
        <w:t>20</w:t>
      </w:r>
    </w:p>
    <w:p w14:paraId="05E1C920" w14:textId="77777777" w:rsidR="00EA406B" w:rsidRDefault="00EA406B">
      <w:pPr>
        <w:pStyle w:val="NormalWeb"/>
        <w:spacing w:before="0" w:beforeAutospacing="0" w:after="120" w:afterAutospacing="0"/>
        <w:ind w:left="480"/>
      </w:pPr>
      <w:r>
        <w:rPr>
          <w:color w:val="000000"/>
          <w:sz w:val="20"/>
          <w:szCs w:val="20"/>
        </w:rPr>
        <w:t>3.4  Rule 7(c) — No Assumptions on Scanty Information</w:t>
      </w:r>
      <w:r>
        <w:rPr>
          <w:color w:val="595959"/>
          <w:sz w:val="20"/>
          <w:szCs w:val="20"/>
        </w:rPr>
        <w:t>21</w:t>
      </w:r>
    </w:p>
    <w:p w14:paraId="41ED848E" w14:textId="77777777" w:rsidR="00EA406B" w:rsidRDefault="00EA406B">
      <w:pPr>
        <w:pStyle w:val="NormalWeb"/>
        <w:spacing w:before="0" w:beforeAutospacing="0" w:after="120" w:afterAutospacing="0"/>
        <w:ind w:left="480"/>
      </w:pPr>
      <w:r>
        <w:rPr>
          <w:color w:val="000000"/>
          <w:sz w:val="20"/>
          <w:szCs w:val="20"/>
        </w:rPr>
        <w:t>3.5  Rule 7(d) — Specific Risk Indicators</w:t>
      </w:r>
      <w:r>
        <w:rPr>
          <w:color w:val="595959"/>
          <w:sz w:val="20"/>
          <w:szCs w:val="20"/>
        </w:rPr>
        <w:t>22</w:t>
      </w:r>
    </w:p>
    <w:p w14:paraId="50030157" w14:textId="77777777" w:rsidR="00EA406B" w:rsidRDefault="00EA406B">
      <w:pPr>
        <w:pStyle w:val="NormalWeb"/>
        <w:spacing w:before="0" w:beforeAutospacing="0" w:after="120" w:afterAutospacing="0"/>
        <w:ind w:left="480"/>
      </w:pPr>
      <w:r>
        <w:rPr>
          <w:color w:val="000000"/>
          <w:sz w:val="20"/>
          <w:szCs w:val="20"/>
        </w:rPr>
        <w:t>3.6  Rule 7 and the Broader COLREG Framework</w:t>
      </w:r>
      <w:r>
        <w:rPr>
          <w:color w:val="595959"/>
          <w:sz w:val="20"/>
          <w:szCs w:val="20"/>
        </w:rPr>
        <w:t>23</w:t>
      </w:r>
    </w:p>
    <w:p w14:paraId="1E573CED" w14:textId="77777777" w:rsidR="00EA406B" w:rsidRDefault="00EA406B">
      <w:pPr>
        <w:pStyle w:val="NormalWeb"/>
        <w:spacing w:before="0" w:beforeAutospacing="0" w:after="120" w:afterAutospacing="0"/>
      </w:pPr>
      <w:r>
        <w:rPr>
          <w:b/>
          <w:bCs/>
          <w:color w:val="1F4E79"/>
          <w:sz w:val="22"/>
          <w:szCs w:val="22"/>
        </w:rPr>
        <w:t>QUESTION 4: Chart Work and Types of Nautical Charts</w:t>
      </w:r>
      <w:r>
        <w:rPr>
          <w:color w:val="595959"/>
          <w:sz w:val="22"/>
          <w:szCs w:val="22"/>
        </w:rPr>
        <w:t>24</w:t>
      </w:r>
    </w:p>
    <w:p w14:paraId="13C90D2B" w14:textId="77777777" w:rsidR="00EA406B" w:rsidRDefault="00EA406B">
      <w:pPr>
        <w:pStyle w:val="NormalWeb"/>
        <w:spacing w:before="0" w:beforeAutospacing="0" w:after="120" w:afterAutospacing="0"/>
        <w:ind w:left="480"/>
      </w:pPr>
      <w:r>
        <w:rPr>
          <w:color w:val="000000"/>
          <w:sz w:val="20"/>
          <w:szCs w:val="20"/>
        </w:rPr>
        <w:t>4.1  The Nature and Purpose of Chart Work</w:t>
      </w:r>
      <w:r>
        <w:rPr>
          <w:color w:val="595959"/>
          <w:sz w:val="20"/>
          <w:szCs w:val="20"/>
        </w:rPr>
        <w:t>24</w:t>
      </w:r>
    </w:p>
    <w:p w14:paraId="230ADF86" w14:textId="77777777" w:rsidR="00EA406B" w:rsidRDefault="00EA406B">
      <w:pPr>
        <w:pStyle w:val="NormalWeb"/>
        <w:spacing w:before="0" w:beforeAutospacing="0" w:after="120" w:afterAutospacing="0"/>
        <w:ind w:left="480"/>
      </w:pPr>
      <w:r>
        <w:rPr>
          <w:color w:val="000000"/>
          <w:sz w:val="20"/>
          <w:szCs w:val="20"/>
        </w:rPr>
        <w:t>4.2  Fundamentals of Nautical Charts</w:t>
      </w:r>
      <w:r>
        <w:rPr>
          <w:color w:val="595959"/>
          <w:sz w:val="20"/>
          <w:szCs w:val="20"/>
        </w:rPr>
        <w:t>25</w:t>
      </w:r>
    </w:p>
    <w:p w14:paraId="732DD44B" w14:textId="77777777" w:rsidR="00EA406B" w:rsidRDefault="00EA406B">
      <w:pPr>
        <w:pStyle w:val="NormalWeb"/>
        <w:spacing w:before="0" w:beforeAutospacing="0" w:after="120" w:afterAutospacing="0"/>
        <w:ind w:left="480"/>
      </w:pPr>
      <w:r>
        <w:rPr>
          <w:color w:val="000000"/>
          <w:sz w:val="20"/>
          <w:szCs w:val="20"/>
        </w:rPr>
        <w:t>4.3  Classification of Charts by Scale</w:t>
      </w:r>
      <w:r>
        <w:rPr>
          <w:color w:val="595959"/>
          <w:sz w:val="20"/>
          <w:szCs w:val="20"/>
        </w:rPr>
        <w:t>26</w:t>
      </w:r>
    </w:p>
    <w:p w14:paraId="40363F6D" w14:textId="77777777" w:rsidR="00EA406B" w:rsidRDefault="00EA406B">
      <w:pPr>
        <w:pStyle w:val="NormalWeb"/>
        <w:spacing w:before="0" w:beforeAutospacing="0" w:after="120" w:afterAutospacing="0"/>
        <w:ind w:left="480"/>
      </w:pPr>
      <w:r>
        <w:rPr>
          <w:color w:val="000000"/>
          <w:sz w:val="20"/>
          <w:szCs w:val="20"/>
        </w:rPr>
        <w:t>4.4  Electronic Navigational Charts (ENCs) and ECDIS</w:t>
      </w:r>
      <w:r>
        <w:rPr>
          <w:color w:val="595959"/>
          <w:sz w:val="20"/>
          <w:szCs w:val="20"/>
        </w:rPr>
        <w:t>29</w:t>
      </w:r>
    </w:p>
    <w:p w14:paraId="7C2C0DF0" w14:textId="77777777" w:rsidR="00EA406B" w:rsidRDefault="00EA406B">
      <w:pPr>
        <w:pStyle w:val="NormalWeb"/>
        <w:spacing w:before="0" w:beforeAutospacing="0" w:after="120" w:afterAutospacing="0"/>
        <w:ind w:left="480"/>
      </w:pPr>
      <w:r>
        <w:rPr>
          <w:color w:val="000000"/>
          <w:sz w:val="20"/>
          <w:szCs w:val="20"/>
        </w:rPr>
        <w:t>4.5  Chart Correction and Notice to Mariners</w:t>
      </w:r>
      <w:r>
        <w:rPr>
          <w:color w:val="595959"/>
          <w:sz w:val="20"/>
          <w:szCs w:val="20"/>
        </w:rPr>
        <w:t>30</w:t>
      </w:r>
    </w:p>
    <w:p w14:paraId="411FAC1F" w14:textId="77777777" w:rsidR="00EA406B" w:rsidRDefault="00EA406B">
      <w:pPr>
        <w:pStyle w:val="NormalWeb"/>
        <w:spacing w:before="0" w:beforeAutospacing="0" w:after="120" w:afterAutospacing="0"/>
      </w:pPr>
      <w:r>
        <w:rPr>
          <w:b/>
          <w:bCs/>
          <w:color w:val="1F4E79"/>
          <w:sz w:val="22"/>
          <w:szCs w:val="22"/>
        </w:rPr>
        <w:t xml:space="preserve">QUESTION 5: The </w:t>
      </w:r>
      <w:proofErr w:type="spellStart"/>
      <w:r>
        <w:rPr>
          <w:b/>
          <w:bCs/>
          <w:color w:val="1F4E79"/>
          <w:sz w:val="22"/>
          <w:szCs w:val="22"/>
        </w:rPr>
        <w:t>Digitalisation</w:t>
      </w:r>
      <w:proofErr w:type="spellEnd"/>
      <w:r>
        <w:rPr>
          <w:b/>
          <w:bCs/>
          <w:color w:val="1F4E79"/>
          <w:sz w:val="22"/>
          <w:szCs w:val="22"/>
        </w:rPr>
        <w:t xml:space="preserve"> of the Ship Bridge</w:t>
      </w:r>
      <w:r>
        <w:rPr>
          <w:color w:val="595959"/>
          <w:sz w:val="22"/>
          <w:szCs w:val="22"/>
        </w:rPr>
        <w:t>31</w:t>
      </w:r>
    </w:p>
    <w:p w14:paraId="771AE55E" w14:textId="77777777" w:rsidR="00EA406B" w:rsidRDefault="00EA406B">
      <w:pPr>
        <w:pStyle w:val="NormalWeb"/>
        <w:spacing w:before="0" w:beforeAutospacing="0" w:after="120" w:afterAutospacing="0"/>
        <w:ind w:left="480"/>
      </w:pPr>
      <w:r>
        <w:rPr>
          <w:color w:val="000000"/>
          <w:sz w:val="20"/>
          <w:szCs w:val="20"/>
        </w:rPr>
        <w:t>5.1  Introduction — From Analogue to Digital</w:t>
      </w:r>
      <w:r>
        <w:rPr>
          <w:color w:val="595959"/>
          <w:sz w:val="20"/>
          <w:szCs w:val="20"/>
        </w:rPr>
        <w:t>31</w:t>
      </w:r>
    </w:p>
    <w:p w14:paraId="5DDE4B9F" w14:textId="77777777" w:rsidR="00EA406B" w:rsidRDefault="00EA406B">
      <w:pPr>
        <w:pStyle w:val="NormalWeb"/>
        <w:spacing w:before="0" w:beforeAutospacing="0" w:after="120" w:afterAutospacing="0"/>
        <w:ind w:left="480"/>
      </w:pPr>
      <w:r>
        <w:rPr>
          <w:color w:val="000000"/>
          <w:sz w:val="20"/>
          <w:szCs w:val="20"/>
        </w:rPr>
        <w:t>5.2  The Integrated Bridge System (IBS)</w:t>
      </w:r>
      <w:r>
        <w:rPr>
          <w:color w:val="595959"/>
          <w:sz w:val="20"/>
          <w:szCs w:val="20"/>
        </w:rPr>
        <w:t>32</w:t>
      </w:r>
    </w:p>
    <w:p w14:paraId="3407F1FF" w14:textId="77777777" w:rsidR="00EA406B" w:rsidRDefault="00EA406B">
      <w:pPr>
        <w:pStyle w:val="NormalWeb"/>
        <w:spacing w:before="0" w:beforeAutospacing="0" w:after="120" w:afterAutospacing="0"/>
        <w:ind w:left="480"/>
      </w:pPr>
      <w:r>
        <w:rPr>
          <w:color w:val="000000"/>
          <w:sz w:val="20"/>
          <w:szCs w:val="20"/>
        </w:rPr>
        <w:t>5.3  Key Digital Systems on the Modern Bridge</w:t>
      </w:r>
      <w:r>
        <w:rPr>
          <w:color w:val="595959"/>
          <w:sz w:val="20"/>
          <w:szCs w:val="20"/>
        </w:rPr>
        <w:t>33</w:t>
      </w:r>
    </w:p>
    <w:p w14:paraId="2FDB984F" w14:textId="77777777" w:rsidR="00EA406B" w:rsidRDefault="00EA406B">
      <w:pPr>
        <w:pStyle w:val="NormalWeb"/>
        <w:spacing w:before="0" w:beforeAutospacing="0" w:after="120" w:afterAutospacing="0"/>
        <w:ind w:left="480"/>
      </w:pPr>
      <w:r>
        <w:rPr>
          <w:color w:val="000000"/>
          <w:sz w:val="20"/>
          <w:szCs w:val="20"/>
        </w:rPr>
        <w:t>5.4  e-Navigation and Autonomous Shipping</w:t>
      </w:r>
      <w:r>
        <w:rPr>
          <w:color w:val="595959"/>
          <w:sz w:val="20"/>
          <w:szCs w:val="20"/>
        </w:rPr>
        <w:t>35</w:t>
      </w:r>
    </w:p>
    <w:p w14:paraId="166ECBEB" w14:textId="77777777" w:rsidR="00EA406B" w:rsidRDefault="00EA406B">
      <w:pPr>
        <w:pStyle w:val="NormalWeb"/>
        <w:spacing w:before="0" w:beforeAutospacing="0" w:after="120" w:afterAutospacing="0"/>
        <w:ind w:left="480"/>
      </w:pPr>
      <w:r>
        <w:rPr>
          <w:color w:val="000000"/>
          <w:sz w:val="20"/>
          <w:szCs w:val="20"/>
        </w:rPr>
        <w:t>5.5  Challenges and Risks of Bridge Digitalisation</w:t>
      </w:r>
      <w:r>
        <w:rPr>
          <w:color w:val="595959"/>
          <w:sz w:val="20"/>
          <w:szCs w:val="20"/>
        </w:rPr>
        <w:t>36</w:t>
      </w:r>
    </w:p>
    <w:p w14:paraId="515A8C71" w14:textId="72C43FDC" w:rsidR="00EA406B" w:rsidRDefault="00EA406B" w:rsidP="003B5E8E">
      <w:pPr>
        <w:pStyle w:val="NormalWeb"/>
        <w:spacing w:before="0" w:beforeAutospacing="0" w:after="120" w:afterAutospacing="0"/>
        <w:ind w:left="480"/>
      </w:pPr>
      <w:r>
        <w:rPr>
          <w:color w:val="000000"/>
          <w:sz w:val="20"/>
          <w:szCs w:val="20"/>
        </w:rPr>
        <w:t xml:space="preserve">5.6  Bridge </w:t>
      </w:r>
      <w:proofErr w:type="spellStart"/>
      <w:r>
        <w:rPr>
          <w:color w:val="000000"/>
          <w:sz w:val="20"/>
          <w:szCs w:val="20"/>
        </w:rPr>
        <w:t>Digitalisation</w:t>
      </w:r>
      <w:proofErr w:type="spellEnd"/>
      <w:r>
        <w:rPr>
          <w:color w:val="000000"/>
          <w:sz w:val="20"/>
          <w:szCs w:val="20"/>
        </w:rPr>
        <w:t xml:space="preserve"> in the Nigerian Maritime Context</w:t>
      </w:r>
      <w:r>
        <w:rPr>
          <w:color w:val="595959"/>
          <w:sz w:val="20"/>
          <w:szCs w:val="20"/>
        </w:rPr>
        <w:t>37</w:t>
      </w:r>
    </w:p>
    <w:p w14:paraId="19CAB274" w14:textId="022A0BE5" w:rsidR="00EA406B" w:rsidRDefault="00EA406B">
      <w:pPr>
        <w:pStyle w:val="NormalWeb"/>
        <w:spacing w:before="240" w:beforeAutospacing="0" w:after="80" w:afterAutospacing="0"/>
        <w:jc w:val="center"/>
      </w:pPr>
      <w:r>
        <w:rPr>
          <w:b/>
          <w:bCs/>
          <w:smallCaps/>
          <w:color w:val="1F4E79"/>
          <w:sz w:val="30"/>
          <w:szCs w:val="30"/>
        </w:rPr>
        <w:lastRenderedPageBreak/>
        <w:t>QUESTION 1</w:t>
      </w:r>
    </w:p>
    <w:p w14:paraId="102CD918" w14:textId="77777777" w:rsidR="00EA406B" w:rsidRDefault="00EA406B">
      <w:pPr>
        <w:pStyle w:val="NormalWeb"/>
        <w:spacing w:before="0" w:beforeAutospacing="0" w:after="240" w:afterAutospacing="0"/>
        <w:jc w:val="center"/>
      </w:pPr>
      <w:r>
        <w:rPr>
          <w:b/>
          <w:bCs/>
          <w:color w:val="2E74B5"/>
          <w:sz w:val="26"/>
          <w:szCs w:val="26"/>
        </w:rPr>
        <w:t>The Global Maritime Distress and Safety System (GMDSS) and Its Four Core Components</w:t>
      </w:r>
    </w:p>
    <w:p w14:paraId="14D548C2" w14:textId="77777777" w:rsidR="00EA406B" w:rsidRDefault="00EA406B">
      <w:pPr>
        <w:pStyle w:val="Heading1"/>
        <w:spacing w:before="400" w:after="200"/>
        <w:rPr>
          <w:rFonts w:eastAsia="Times New Roman"/>
        </w:rPr>
      </w:pPr>
      <w:r>
        <w:rPr>
          <w:rFonts w:eastAsia="Times New Roman"/>
          <w:color w:val="1F4E79"/>
          <w:sz w:val="28"/>
          <w:szCs w:val="28"/>
        </w:rPr>
        <w:t>1. The Global Maritime Distress and Safety System (GMDSS)</w:t>
      </w:r>
    </w:p>
    <w:p w14:paraId="5554EEA0" w14:textId="77777777" w:rsidR="00EA406B" w:rsidRDefault="00EA406B">
      <w:pPr>
        <w:pStyle w:val="Heading2"/>
        <w:spacing w:before="300" w:after="160"/>
        <w:rPr>
          <w:rFonts w:eastAsia="Times New Roman"/>
        </w:rPr>
      </w:pPr>
      <w:r>
        <w:rPr>
          <w:rFonts w:eastAsia="Times New Roman"/>
          <w:color w:val="2E74B5"/>
          <w:sz w:val="24"/>
          <w:szCs w:val="24"/>
        </w:rPr>
        <w:t>1.1 Background and Historical Context</w:t>
      </w:r>
    </w:p>
    <w:p w14:paraId="36535A26" w14:textId="77777777" w:rsidR="00EA406B" w:rsidRDefault="00EA406B">
      <w:pPr>
        <w:pStyle w:val="NormalWeb"/>
        <w:spacing w:before="0" w:beforeAutospacing="0" w:after="160" w:afterAutospacing="0"/>
        <w:ind w:firstLine="720"/>
        <w:jc w:val="both"/>
      </w:pPr>
      <w:r>
        <w:rPr>
          <w:color w:val="000000"/>
        </w:rPr>
        <w:t>For the greater part of the twentieth century, the system by which ships communicated distress at sea was built on a foundation of radio telegraphy, human operators, and the international distress frequency of 500 kHz. Ships were required to maintain Morse code watches, and the detection of a distress signal depended entirely on whether a qualified radio officer was listening at the right moment. This system was chronically vulnerable to range limitations, atmospheric interference, and the simple fact that many vessels — particularly small fishing boats and coastal traders — carried no radio equipment at all. High-profile maritime disasters, including the deaths of hundreds of passengers and crew in accidents during the 1970s and 1980s where delayed distress detection played a significant role, drove the International Maritime Organization to develop a fundamentally new approach to maritime safety communication (IMO, 2018).</w:t>
      </w:r>
    </w:p>
    <w:p w14:paraId="36B63E78" w14:textId="77777777" w:rsidR="00EA406B" w:rsidRDefault="00EA406B">
      <w:pPr>
        <w:pStyle w:val="NormalWeb"/>
        <w:spacing w:before="0" w:beforeAutospacing="0" w:after="160" w:afterAutospacing="0"/>
        <w:ind w:firstLine="720"/>
        <w:jc w:val="both"/>
      </w:pPr>
      <w:r>
        <w:rPr>
          <w:color w:val="000000"/>
        </w:rPr>
        <w:t>The result of more than a decade of international negotiation and technical development was the Global Maritime Distress and Safety System — GMDSS — introduced under the 1988 amendments to the International Convention for the Safety of Life at Sea (SOLAS) and brought into full mandatory force for all SOLAS-class vessels on 1 February 1999. GMDSS replaced the old system root and branch. Where the old system was reactive and operator-dependent, GMDSS is automated and proactive. It integrates satellite technology, digital selective calling, NAVTEX, EPIRBs, SARTs, and VHF radio into a single layered architecture that can transmit and receive distress alerts, coordinate search and rescue operations, locate survivors, and broadcast navigational safety information — all without necessarily requiring any human intervention at the moment of emergency (</w:t>
      </w:r>
      <w:proofErr w:type="spellStart"/>
      <w:r>
        <w:rPr>
          <w:color w:val="000000"/>
        </w:rPr>
        <w:t>Nordström</w:t>
      </w:r>
      <w:proofErr w:type="spellEnd"/>
      <w:r>
        <w:rPr>
          <w:color w:val="000000"/>
        </w:rPr>
        <w:t xml:space="preserve"> &amp; </w:t>
      </w:r>
      <w:proofErr w:type="spellStart"/>
      <w:r>
        <w:rPr>
          <w:color w:val="000000"/>
        </w:rPr>
        <w:t>Götberg</w:t>
      </w:r>
      <w:proofErr w:type="spellEnd"/>
      <w:r>
        <w:rPr>
          <w:color w:val="000000"/>
        </w:rPr>
        <w:t>, 2020).</w:t>
      </w:r>
    </w:p>
    <w:p w14:paraId="08875332" w14:textId="22170997" w:rsidR="00EA406B" w:rsidRDefault="00EA406B">
      <w:pPr>
        <w:pStyle w:val="NormalWeb"/>
        <w:spacing w:before="80" w:beforeAutospacing="0" w:after="240" w:afterAutospacing="0"/>
        <w:jc w:val="center"/>
      </w:pPr>
    </w:p>
    <w:p w14:paraId="4A8F5139" w14:textId="77777777" w:rsidR="00EA406B" w:rsidRDefault="00EA406B">
      <w:pPr>
        <w:pStyle w:val="Heading2"/>
        <w:spacing w:before="300" w:after="160"/>
        <w:rPr>
          <w:rFonts w:eastAsia="Times New Roman"/>
        </w:rPr>
      </w:pPr>
      <w:r>
        <w:rPr>
          <w:rFonts w:eastAsia="Times New Roman"/>
          <w:color w:val="2E74B5"/>
          <w:sz w:val="24"/>
          <w:szCs w:val="24"/>
        </w:rPr>
        <w:t>1.2 GMDSS Sea Areas and Equipment Framework</w:t>
      </w:r>
    </w:p>
    <w:p w14:paraId="772BCA0D" w14:textId="77777777" w:rsidR="00EA406B" w:rsidRDefault="00EA406B">
      <w:pPr>
        <w:pStyle w:val="NormalWeb"/>
        <w:spacing w:before="0" w:beforeAutospacing="0" w:after="160" w:afterAutospacing="0"/>
        <w:ind w:firstLine="720"/>
        <w:jc w:val="both"/>
      </w:pPr>
      <w:r>
        <w:rPr>
          <w:color w:val="000000"/>
        </w:rPr>
        <w:t>GMDSS divides the world's oceans into four sea areas based on the type of communication technology available in each zone. Every SOLAS vessel is assigned to a sea area that reflects the waters in which it operates, and its GMDSS equipment fit must cover all four functional components within that sea area. Sea Area A1 is defined as the area within coverage of at least one VHF coast radio station providing continuous Digital Selective Calling alerting — typically within 20 to 50 nautical miles of the coast. Sea Area A2 covers the area within range of at least one MF coast station providing continuous DSC watch, excluding A1 — generally up to 400 nautical miles from the coast. Sea Area A3 is the area within coverage of geostationary INMARSAT satellites, roughly between 70°N and 70°S latitude, excluding A1 and A2. Sea Area A4 covers the remaining polar regions not served by INMARSAT (IMO, 2018).</w:t>
      </w:r>
    </w:p>
    <w:p w14:paraId="65F34676" w14:textId="68D79E94" w:rsidR="00EA406B" w:rsidRDefault="00EA406B">
      <w:pPr>
        <w:pStyle w:val="NormalWeb"/>
        <w:spacing w:before="80" w:beforeAutospacing="0" w:after="240" w:afterAutospacing="0"/>
        <w:jc w:val="center"/>
      </w:pPr>
    </w:p>
    <w:p w14:paraId="40E312BB" w14:textId="77777777" w:rsidR="00EA406B" w:rsidRDefault="00EA406B">
      <w:pPr>
        <w:pStyle w:val="NormalWeb"/>
        <w:spacing w:before="200" w:beforeAutospacing="0" w:after="80" w:afterAutospacing="0"/>
        <w:jc w:val="center"/>
      </w:pPr>
      <w:r>
        <w:rPr>
          <w:b/>
          <w:bCs/>
          <w:color w:val="1F4E79"/>
          <w:sz w:val="20"/>
          <w:szCs w:val="20"/>
        </w:rPr>
        <w:lastRenderedPageBreak/>
        <w:t>Table 1: GMDSS Mandatory Equipment Requirements by Sea Area</w:t>
      </w:r>
    </w:p>
    <w:tbl>
      <w:tblPr>
        <w:tblW w:w="0" w:type="auto"/>
        <w:tblCellMar>
          <w:top w:w="15" w:type="dxa"/>
          <w:left w:w="15" w:type="dxa"/>
          <w:bottom w:w="15" w:type="dxa"/>
          <w:right w:w="15" w:type="dxa"/>
        </w:tblCellMar>
        <w:tblLook w:val="04A0" w:firstRow="1" w:lastRow="0" w:firstColumn="1" w:lastColumn="0" w:noHBand="0" w:noVBand="1"/>
      </w:tblPr>
      <w:tblGrid>
        <w:gridCol w:w="3513"/>
        <w:gridCol w:w="1307"/>
        <w:gridCol w:w="1307"/>
        <w:gridCol w:w="1307"/>
        <w:gridCol w:w="1307"/>
      </w:tblGrid>
      <w:tr w:rsidR="00EA406B" w14:paraId="22C9E9B1" w14:textId="77777777">
        <w:tc>
          <w:tcPr>
            <w:tcW w:w="0" w:type="auto"/>
            <w:tcBorders>
              <w:top w:val="single" w:sz="6" w:space="0" w:color="2E74B5"/>
              <w:left w:val="single" w:sz="6" w:space="0" w:color="2E74B5"/>
              <w:bottom w:val="single" w:sz="6" w:space="0" w:color="2E74B5"/>
              <w:right w:val="single" w:sz="6" w:space="0" w:color="2E74B5"/>
            </w:tcBorders>
            <w:shd w:val="clear" w:color="auto" w:fill="1F4E79"/>
            <w:tcMar>
              <w:top w:w="80" w:type="dxa"/>
              <w:left w:w="120" w:type="dxa"/>
              <w:bottom w:w="80" w:type="dxa"/>
              <w:right w:w="120" w:type="dxa"/>
            </w:tcMar>
            <w:vAlign w:val="center"/>
            <w:hideMark/>
          </w:tcPr>
          <w:p w14:paraId="62525F0E" w14:textId="77777777" w:rsidR="00EA406B" w:rsidRDefault="00EA406B">
            <w:pPr>
              <w:pStyle w:val="NormalWeb"/>
              <w:spacing w:before="0" w:beforeAutospacing="0" w:after="0" w:afterAutospacing="0"/>
              <w:jc w:val="center"/>
            </w:pPr>
            <w:r>
              <w:rPr>
                <w:b/>
                <w:bCs/>
                <w:color w:val="FFFFFF"/>
                <w:sz w:val="20"/>
                <w:szCs w:val="20"/>
              </w:rPr>
              <w:t>Equipment</w:t>
            </w:r>
          </w:p>
        </w:tc>
        <w:tc>
          <w:tcPr>
            <w:tcW w:w="0" w:type="auto"/>
            <w:tcBorders>
              <w:top w:val="single" w:sz="6" w:space="0" w:color="2E74B5"/>
              <w:left w:val="single" w:sz="6" w:space="0" w:color="2E74B5"/>
              <w:bottom w:val="single" w:sz="6" w:space="0" w:color="2E74B5"/>
              <w:right w:val="single" w:sz="6" w:space="0" w:color="2E74B5"/>
            </w:tcBorders>
            <w:shd w:val="clear" w:color="auto" w:fill="1F4E79"/>
            <w:tcMar>
              <w:top w:w="80" w:type="dxa"/>
              <w:left w:w="120" w:type="dxa"/>
              <w:bottom w:w="80" w:type="dxa"/>
              <w:right w:w="120" w:type="dxa"/>
            </w:tcMar>
            <w:vAlign w:val="center"/>
            <w:hideMark/>
          </w:tcPr>
          <w:p w14:paraId="0D159519" w14:textId="77777777" w:rsidR="00EA406B" w:rsidRDefault="00EA406B">
            <w:pPr>
              <w:pStyle w:val="NormalWeb"/>
              <w:spacing w:before="0" w:beforeAutospacing="0" w:after="0" w:afterAutospacing="0"/>
              <w:jc w:val="center"/>
            </w:pPr>
            <w:r>
              <w:rPr>
                <w:b/>
                <w:bCs/>
                <w:color w:val="FFFFFF"/>
                <w:sz w:val="20"/>
                <w:szCs w:val="20"/>
              </w:rPr>
              <w:t>Sea Area A1</w:t>
            </w:r>
          </w:p>
        </w:tc>
        <w:tc>
          <w:tcPr>
            <w:tcW w:w="0" w:type="auto"/>
            <w:tcBorders>
              <w:top w:val="single" w:sz="6" w:space="0" w:color="2E74B5"/>
              <w:left w:val="single" w:sz="6" w:space="0" w:color="2E74B5"/>
              <w:bottom w:val="single" w:sz="6" w:space="0" w:color="2E74B5"/>
              <w:right w:val="single" w:sz="6" w:space="0" w:color="2E74B5"/>
            </w:tcBorders>
            <w:shd w:val="clear" w:color="auto" w:fill="1F4E79"/>
            <w:tcMar>
              <w:top w:w="80" w:type="dxa"/>
              <w:left w:w="120" w:type="dxa"/>
              <w:bottom w:w="80" w:type="dxa"/>
              <w:right w:w="120" w:type="dxa"/>
            </w:tcMar>
            <w:vAlign w:val="center"/>
            <w:hideMark/>
          </w:tcPr>
          <w:p w14:paraId="1005A0F9" w14:textId="77777777" w:rsidR="00EA406B" w:rsidRDefault="00EA406B">
            <w:pPr>
              <w:pStyle w:val="NormalWeb"/>
              <w:spacing w:before="0" w:beforeAutospacing="0" w:after="0" w:afterAutospacing="0"/>
              <w:jc w:val="center"/>
            </w:pPr>
            <w:r>
              <w:rPr>
                <w:b/>
                <w:bCs/>
                <w:color w:val="FFFFFF"/>
                <w:sz w:val="20"/>
                <w:szCs w:val="20"/>
              </w:rPr>
              <w:t>Sea Area A2</w:t>
            </w:r>
          </w:p>
        </w:tc>
        <w:tc>
          <w:tcPr>
            <w:tcW w:w="0" w:type="auto"/>
            <w:tcBorders>
              <w:top w:val="single" w:sz="6" w:space="0" w:color="2E74B5"/>
              <w:left w:val="single" w:sz="6" w:space="0" w:color="2E74B5"/>
              <w:bottom w:val="single" w:sz="6" w:space="0" w:color="2E74B5"/>
              <w:right w:val="single" w:sz="6" w:space="0" w:color="2E74B5"/>
            </w:tcBorders>
            <w:shd w:val="clear" w:color="auto" w:fill="1F4E79"/>
            <w:tcMar>
              <w:top w:w="80" w:type="dxa"/>
              <w:left w:w="120" w:type="dxa"/>
              <w:bottom w:w="80" w:type="dxa"/>
              <w:right w:w="120" w:type="dxa"/>
            </w:tcMar>
            <w:vAlign w:val="center"/>
            <w:hideMark/>
          </w:tcPr>
          <w:p w14:paraId="42FD2F79" w14:textId="77777777" w:rsidR="00EA406B" w:rsidRDefault="00EA406B">
            <w:pPr>
              <w:pStyle w:val="NormalWeb"/>
              <w:spacing w:before="0" w:beforeAutospacing="0" w:after="0" w:afterAutospacing="0"/>
              <w:jc w:val="center"/>
            </w:pPr>
            <w:r>
              <w:rPr>
                <w:b/>
                <w:bCs/>
                <w:color w:val="FFFFFF"/>
                <w:sz w:val="20"/>
                <w:szCs w:val="20"/>
              </w:rPr>
              <w:t>Sea Area A3</w:t>
            </w:r>
          </w:p>
        </w:tc>
        <w:tc>
          <w:tcPr>
            <w:tcW w:w="0" w:type="auto"/>
            <w:tcBorders>
              <w:top w:val="single" w:sz="6" w:space="0" w:color="2E74B5"/>
              <w:left w:val="single" w:sz="6" w:space="0" w:color="2E74B5"/>
              <w:bottom w:val="single" w:sz="6" w:space="0" w:color="2E74B5"/>
              <w:right w:val="single" w:sz="6" w:space="0" w:color="2E74B5"/>
            </w:tcBorders>
            <w:shd w:val="clear" w:color="auto" w:fill="1F4E79"/>
            <w:tcMar>
              <w:top w:w="80" w:type="dxa"/>
              <w:left w:w="120" w:type="dxa"/>
              <w:bottom w:w="80" w:type="dxa"/>
              <w:right w:w="120" w:type="dxa"/>
            </w:tcMar>
            <w:vAlign w:val="center"/>
            <w:hideMark/>
          </w:tcPr>
          <w:p w14:paraId="06130595" w14:textId="77777777" w:rsidR="00EA406B" w:rsidRDefault="00EA406B">
            <w:pPr>
              <w:pStyle w:val="NormalWeb"/>
              <w:spacing w:before="0" w:beforeAutospacing="0" w:after="0" w:afterAutospacing="0"/>
              <w:jc w:val="center"/>
            </w:pPr>
            <w:r>
              <w:rPr>
                <w:b/>
                <w:bCs/>
                <w:color w:val="FFFFFF"/>
                <w:sz w:val="20"/>
                <w:szCs w:val="20"/>
              </w:rPr>
              <w:t>Sea Area A4</w:t>
            </w:r>
          </w:p>
        </w:tc>
      </w:tr>
      <w:tr w:rsidR="00EA406B" w14:paraId="3C8C2278" w14:textId="77777777">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3716E67F" w14:textId="77777777" w:rsidR="00EA406B" w:rsidRDefault="00EA406B">
            <w:pPr>
              <w:pStyle w:val="NormalWeb"/>
              <w:spacing w:before="0" w:beforeAutospacing="0" w:after="0" w:afterAutospacing="0"/>
            </w:pPr>
            <w:r>
              <w:rPr>
                <w:b/>
                <w:bCs/>
                <w:color w:val="000000"/>
                <w:sz w:val="20"/>
                <w:szCs w:val="20"/>
              </w:rPr>
              <w:t>VHF Radio (DSC Ch.70)</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04955CA6" w14:textId="77777777" w:rsidR="00EA406B" w:rsidRDefault="00EA406B">
            <w:pPr>
              <w:pStyle w:val="NormalWeb"/>
              <w:spacing w:before="0" w:beforeAutospacing="0" w:after="0" w:afterAutospacing="0"/>
              <w:jc w:val="center"/>
            </w:pPr>
            <w:r>
              <w:rPr>
                <w:rFonts w:ascii="Segoe UI Emoji" w:hAnsi="Segoe UI Emoji" w:cs="Segoe UI Emoji"/>
                <w:color w:val="000000"/>
                <w:sz w:val="20"/>
                <w:szCs w:val="20"/>
              </w:rPr>
              <w:t>✔</w:t>
            </w:r>
            <w:r>
              <w:rPr>
                <w:color w:val="000000"/>
                <w:sz w:val="20"/>
                <w:szCs w:val="20"/>
              </w:rPr>
              <w:t xml:space="preserve"> Required</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710FFCDB" w14:textId="77777777" w:rsidR="00EA406B" w:rsidRDefault="00EA406B">
            <w:pPr>
              <w:pStyle w:val="NormalWeb"/>
              <w:spacing w:before="0" w:beforeAutospacing="0" w:after="0" w:afterAutospacing="0"/>
              <w:jc w:val="center"/>
            </w:pPr>
            <w:r>
              <w:rPr>
                <w:rFonts w:ascii="Segoe UI Emoji" w:hAnsi="Segoe UI Emoji" w:cs="Segoe UI Emoji"/>
                <w:color w:val="000000"/>
                <w:sz w:val="20"/>
                <w:szCs w:val="20"/>
              </w:rPr>
              <w:t>✔</w:t>
            </w:r>
            <w:r>
              <w:rPr>
                <w:color w:val="000000"/>
                <w:sz w:val="20"/>
                <w:szCs w:val="20"/>
              </w:rPr>
              <w:t xml:space="preserve"> Required</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0D645260" w14:textId="77777777" w:rsidR="00EA406B" w:rsidRDefault="00EA406B">
            <w:pPr>
              <w:pStyle w:val="NormalWeb"/>
              <w:spacing w:before="0" w:beforeAutospacing="0" w:after="0" w:afterAutospacing="0"/>
              <w:jc w:val="center"/>
            </w:pPr>
            <w:r>
              <w:rPr>
                <w:rFonts w:ascii="Segoe UI Emoji" w:hAnsi="Segoe UI Emoji" w:cs="Segoe UI Emoji"/>
                <w:color w:val="000000"/>
                <w:sz w:val="20"/>
                <w:szCs w:val="20"/>
              </w:rPr>
              <w:t>✔</w:t>
            </w:r>
            <w:r>
              <w:rPr>
                <w:color w:val="000000"/>
                <w:sz w:val="20"/>
                <w:szCs w:val="20"/>
              </w:rPr>
              <w:t xml:space="preserve"> Required</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5CB8E73E" w14:textId="77777777" w:rsidR="00EA406B" w:rsidRDefault="00EA406B">
            <w:pPr>
              <w:pStyle w:val="NormalWeb"/>
              <w:spacing w:before="0" w:beforeAutospacing="0" w:after="0" w:afterAutospacing="0"/>
              <w:jc w:val="center"/>
            </w:pPr>
            <w:r>
              <w:rPr>
                <w:rFonts w:ascii="Segoe UI Emoji" w:hAnsi="Segoe UI Emoji" w:cs="Segoe UI Emoji"/>
                <w:color w:val="000000"/>
                <w:sz w:val="20"/>
                <w:szCs w:val="20"/>
              </w:rPr>
              <w:t>✔</w:t>
            </w:r>
            <w:r>
              <w:rPr>
                <w:color w:val="000000"/>
                <w:sz w:val="20"/>
                <w:szCs w:val="20"/>
              </w:rPr>
              <w:t xml:space="preserve"> Required</w:t>
            </w:r>
          </w:p>
        </w:tc>
      </w:tr>
      <w:tr w:rsidR="00EA406B" w14:paraId="12F87FB8" w14:textId="77777777">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6713337A" w14:textId="77777777" w:rsidR="00EA406B" w:rsidRDefault="00EA406B">
            <w:pPr>
              <w:pStyle w:val="NormalWeb"/>
              <w:spacing w:before="0" w:beforeAutospacing="0" w:after="0" w:afterAutospacing="0"/>
            </w:pPr>
            <w:r>
              <w:rPr>
                <w:b/>
                <w:bCs/>
                <w:color w:val="000000"/>
                <w:sz w:val="20"/>
                <w:szCs w:val="20"/>
              </w:rPr>
              <w:t>MF Radio (DSC 2187.5 kHz)</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66AAC003" w14:textId="77777777" w:rsidR="00EA406B" w:rsidRDefault="00EA406B">
            <w:pPr>
              <w:pStyle w:val="NormalWeb"/>
              <w:spacing w:before="0" w:beforeAutospacing="0" w:after="0" w:afterAutospacing="0"/>
              <w:jc w:val="center"/>
            </w:pPr>
            <w:r>
              <w:rPr>
                <w:color w:val="000000"/>
                <w:sz w:val="20"/>
                <w:szCs w:val="20"/>
              </w:rPr>
              <w:t>—</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3F95141F" w14:textId="77777777" w:rsidR="00EA406B" w:rsidRDefault="00EA406B">
            <w:pPr>
              <w:pStyle w:val="NormalWeb"/>
              <w:spacing w:before="0" w:beforeAutospacing="0" w:after="0" w:afterAutospacing="0"/>
              <w:jc w:val="center"/>
            </w:pPr>
            <w:r>
              <w:rPr>
                <w:rFonts w:ascii="Segoe UI Emoji" w:hAnsi="Segoe UI Emoji" w:cs="Segoe UI Emoji"/>
                <w:color w:val="000000"/>
                <w:sz w:val="20"/>
                <w:szCs w:val="20"/>
              </w:rPr>
              <w:t>✔</w:t>
            </w:r>
            <w:r>
              <w:rPr>
                <w:color w:val="000000"/>
                <w:sz w:val="20"/>
                <w:szCs w:val="20"/>
              </w:rPr>
              <w:t xml:space="preserve"> Required</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5531CBB7" w14:textId="77777777" w:rsidR="00EA406B" w:rsidRDefault="00EA406B">
            <w:pPr>
              <w:pStyle w:val="NormalWeb"/>
              <w:spacing w:before="0" w:beforeAutospacing="0" w:after="0" w:afterAutospacing="0"/>
              <w:jc w:val="center"/>
            </w:pPr>
            <w:r>
              <w:rPr>
                <w:rFonts w:ascii="Segoe UI Emoji" w:hAnsi="Segoe UI Emoji" w:cs="Segoe UI Emoji"/>
                <w:color w:val="000000"/>
                <w:sz w:val="20"/>
                <w:szCs w:val="20"/>
              </w:rPr>
              <w:t>✔</w:t>
            </w:r>
            <w:r>
              <w:rPr>
                <w:color w:val="000000"/>
                <w:sz w:val="20"/>
                <w:szCs w:val="20"/>
              </w:rPr>
              <w:t xml:space="preserve"> Required</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72611F3E" w14:textId="77777777" w:rsidR="00EA406B" w:rsidRDefault="00EA406B">
            <w:pPr>
              <w:pStyle w:val="NormalWeb"/>
              <w:spacing w:before="0" w:beforeAutospacing="0" w:after="0" w:afterAutospacing="0"/>
              <w:jc w:val="center"/>
            </w:pPr>
            <w:r>
              <w:rPr>
                <w:rFonts w:ascii="Segoe UI Emoji" w:hAnsi="Segoe UI Emoji" w:cs="Segoe UI Emoji"/>
                <w:color w:val="000000"/>
                <w:sz w:val="20"/>
                <w:szCs w:val="20"/>
              </w:rPr>
              <w:t>✔</w:t>
            </w:r>
            <w:r>
              <w:rPr>
                <w:color w:val="000000"/>
                <w:sz w:val="20"/>
                <w:szCs w:val="20"/>
              </w:rPr>
              <w:t xml:space="preserve"> Required</w:t>
            </w:r>
          </w:p>
        </w:tc>
      </w:tr>
      <w:tr w:rsidR="00EA406B" w14:paraId="6AB9B987" w14:textId="77777777">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6248626D" w14:textId="77777777" w:rsidR="00EA406B" w:rsidRDefault="00EA406B">
            <w:pPr>
              <w:pStyle w:val="NormalWeb"/>
              <w:spacing w:before="0" w:beforeAutospacing="0" w:after="0" w:afterAutospacing="0"/>
            </w:pPr>
            <w:r>
              <w:rPr>
                <w:b/>
                <w:bCs/>
                <w:color w:val="000000"/>
                <w:sz w:val="20"/>
                <w:szCs w:val="20"/>
              </w:rPr>
              <w:t>HF Radio (MF/HF DSC)</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0DF4CC5D" w14:textId="77777777" w:rsidR="00EA406B" w:rsidRDefault="00EA406B">
            <w:pPr>
              <w:pStyle w:val="NormalWeb"/>
              <w:spacing w:before="0" w:beforeAutospacing="0" w:after="0" w:afterAutospacing="0"/>
              <w:jc w:val="center"/>
            </w:pPr>
            <w:r>
              <w:rPr>
                <w:color w:val="000000"/>
                <w:sz w:val="20"/>
                <w:szCs w:val="20"/>
              </w:rPr>
              <w:t>—</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0350BA52" w14:textId="77777777" w:rsidR="00EA406B" w:rsidRDefault="00EA406B">
            <w:pPr>
              <w:pStyle w:val="NormalWeb"/>
              <w:spacing w:before="0" w:beforeAutospacing="0" w:after="0" w:afterAutospacing="0"/>
              <w:jc w:val="center"/>
            </w:pPr>
            <w:r>
              <w:rPr>
                <w:color w:val="000000"/>
                <w:sz w:val="20"/>
                <w:szCs w:val="20"/>
              </w:rPr>
              <w:t>—</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4B08878C" w14:textId="77777777" w:rsidR="00EA406B" w:rsidRDefault="00EA406B">
            <w:pPr>
              <w:pStyle w:val="NormalWeb"/>
              <w:spacing w:before="0" w:beforeAutospacing="0" w:after="0" w:afterAutospacing="0"/>
              <w:jc w:val="center"/>
            </w:pPr>
            <w:r>
              <w:rPr>
                <w:color w:val="000000"/>
                <w:sz w:val="20"/>
                <w:szCs w:val="20"/>
              </w:rPr>
              <w:t>Optional</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2144E2B3" w14:textId="77777777" w:rsidR="00EA406B" w:rsidRDefault="00EA406B">
            <w:pPr>
              <w:pStyle w:val="NormalWeb"/>
              <w:spacing w:before="0" w:beforeAutospacing="0" w:after="0" w:afterAutospacing="0"/>
              <w:jc w:val="center"/>
            </w:pPr>
            <w:r>
              <w:rPr>
                <w:rFonts w:ascii="Segoe UI Emoji" w:hAnsi="Segoe UI Emoji" w:cs="Segoe UI Emoji"/>
                <w:color w:val="000000"/>
                <w:sz w:val="20"/>
                <w:szCs w:val="20"/>
              </w:rPr>
              <w:t>✔</w:t>
            </w:r>
            <w:r>
              <w:rPr>
                <w:color w:val="000000"/>
                <w:sz w:val="20"/>
                <w:szCs w:val="20"/>
              </w:rPr>
              <w:t xml:space="preserve"> Required</w:t>
            </w:r>
          </w:p>
        </w:tc>
      </w:tr>
      <w:tr w:rsidR="00EA406B" w14:paraId="31C088B6" w14:textId="77777777">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720F5B56" w14:textId="77777777" w:rsidR="00EA406B" w:rsidRDefault="00EA406B">
            <w:pPr>
              <w:pStyle w:val="NormalWeb"/>
              <w:spacing w:before="0" w:beforeAutospacing="0" w:after="0" w:afterAutospacing="0"/>
            </w:pPr>
            <w:r>
              <w:rPr>
                <w:b/>
                <w:bCs/>
                <w:color w:val="000000"/>
                <w:sz w:val="20"/>
                <w:szCs w:val="20"/>
              </w:rPr>
              <w:t>INMARSAT (or equivalent)</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522FF6A4" w14:textId="77777777" w:rsidR="00EA406B" w:rsidRDefault="00EA406B">
            <w:pPr>
              <w:pStyle w:val="NormalWeb"/>
              <w:spacing w:before="0" w:beforeAutospacing="0" w:after="0" w:afterAutospacing="0"/>
              <w:jc w:val="center"/>
            </w:pPr>
            <w:r>
              <w:rPr>
                <w:color w:val="000000"/>
                <w:sz w:val="20"/>
                <w:szCs w:val="20"/>
              </w:rPr>
              <w:t>—</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1515C9EC" w14:textId="77777777" w:rsidR="00EA406B" w:rsidRDefault="00EA406B">
            <w:pPr>
              <w:pStyle w:val="NormalWeb"/>
              <w:spacing w:before="0" w:beforeAutospacing="0" w:after="0" w:afterAutospacing="0"/>
              <w:jc w:val="center"/>
            </w:pPr>
            <w:r>
              <w:rPr>
                <w:color w:val="000000"/>
                <w:sz w:val="20"/>
                <w:szCs w:val="20"/>
              </w:rPr>
              <w:t>—</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7FF01C20" w14:textId="77777777" w:rsidR="00EA406B" w:rsidRDefault="00EA406B">
            <w:pPr>
              <w:pStyle w:val="NormalWeb"/>
              <w:spacing w:before="0" w:beforeAutospacing="0" w:after="0" w:afterAutospacing="0"/>
              <w:jc w:val="center"/>
            </w:pPr>
            <w:r>
              <w:rPr>
                <w:rFonts w:ascii="Segoe UI Emoji" w:hAnsi="Segoe UI Emoji" w:cs="Segoe UI Emoji"/>
                <w:color w:val="000000"/>
                <w:sz w:val="20"/>
                <w:szCs w:val="20"/>
              </w:rPr>
              <w:t>✔</w:t>
            </w:r>
            <w:r>
              <w:rPr>
                <w:color w:val="000000"/>
                <w:sz w:val="20"/>
                <w:szCs w:val="20"/>
              </w:rPr>
              <w:t xml:space="preserve"> Required</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3973FD13" w14:textId="77777777" w:rsidR="00EA406B" w:rsidRDefault="00EA406B">
            <w:pPr>
              <w:pStyle w:val="NormalWeb"/>
              <w:spacing w:before="0" w:beforeAutospacing="0" w:after="0" w:afterAutospacing="0"/>
              <w:jc w:val="center"/>
            </w:pPr>
            <w:r>
              <w:rPr>
                <w:color w:val="000000"/>
                <w:sz w:val="20"/>
                <w:szCs w:val="20"/>
              </w:rPr>
              <w:t>—</w:t>
            </w:r>
          </w:p>
        </w:tc>
      </w:tr>
      <w:tr w:rsidR="00EA406B" w14:paraId="394BF692" w14:textId="77777777">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42497A8B" w14:textId="77777777" w:rsidR="00EA406B" w:rsidRDefault="00EA406B">
            <w:pPr>
              <w:pStyle w:val="NormalWeb"/>
              <w:spacing w:before="0" w:beforeAutospacing="0" w:after="0" w:afterAutospacing="0"/>
            </w:pPr>
            <w:r>
              <w:rPr>
                <w:b/>
                <w:bCs/>
                <w:color w:val="000000"/>
                <w:sz w:val="20"/>
                <w:szCs w:val="20"/>
              </w:rPr>
              <w:t>EPIRB (406 MHz COSPAS-SARSAT)</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17EF0AD4" w14:textId="77777777" w:rsidR="00EA406B" w:rsidRDefault="00EA406B">
            <w:pPr>
              <w:pStyle w:val="NormalWeb"/>
              <w:spacing w:before="0" w:beforeAutospacing="0" w:after="0" w:afterAutospacing="0"/>
              <w:jc w:val="center"/>
            </w:pPr>
            <w:r>
              <w:rPr>
                <w:rFonts w:ascii="Segoe UI Emoji" w:hAnsi="Segoe UI Emoji" w:cs="Segoe UI Emoji"/>
                <w:color w:val="000000"/>
                <w:sz w:val="20"/>
                <w:szCs w:val="20"/>
              </w:rPr>
              <w:t>✔</w:t>
            </w:r>
            <w:r>
              <w:rPr>
                <w:color w:val="000000"/>
                <w:sz w:val="20"/>
                <w:szCs w:val="20"/>
              </w:rPr>
              <w:t xml:space="preserve"> Required</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487F22CF" w14:textId="77777777" w:rsidR="00EA406B" w:rsidRDefault="00EA406B">
            <w:pPr>
              <w:pStyle w:val="NormalWeb"/>
              <w:spacing w:before="0" w:beforeAutospacing="0" w:after="0" w:afterAutospacing="0"/>
              <w:jc w:val="center"/>
            </w:pPr>
            <w:r>
              <w:rPr>
                <w:rFonts w:ascii="Segoe UI Emoji" w:hAnsi="Segoe UI Emoji" w:cs="Segoe UI Emoji"/>
                <w:color w:val="000000"/>
                <w:sz w:val="20"/>
                <w:szCs w:val="20"/>
              </w:rPr>
              <w:t>✔</w:t>
            </w:r>
            <w:r>
              <w:rPr>
                <w:color w:val="000000"/>
                <w:sz w:val="20"/>
                <w:szCs w:val="20"/>
              </w:rPr>
              <w:t xml:space="preserve"> Required</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50673717" w14:textId="77777777" w:rsidR="00EA406B" w:rsidRDefault="00EA406B">
            <w:pPr>
              <w:pStyle w:val="NormalWeb"/>
              <w:spacing w:before="0" w:beforeAutospacing="0" w:after="0" w:afterAutospacing="0"/>
              <w:jc w:val="center"/>
            </w:pPr>
            <w:r>
              <w:rPr>
                <w:rFonts w:ascii="Segoe UI Emoji" w:hAnsi="Segoe UI Emoji" w:cs="Segoe UI Emoji"/>
                <w:color w:val="000000"/>
                <w:sz w:val="20"/>
                <w:szCs w:val="20"/>
              </w:rPr>
              <w:t>✔</w:t>
            </w:r>
            <w:r>
              <w:rPr>
                <w:color w:val="000000"/>
                <w:sz w:val="20"/>
                <w:szCs w:val="20"/>
              </w:rPr>
              <w:t xml:space="preserve"> Required</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22B949AB" w14:textId="77777777" w:rsidR="00EA406B" w:rsidRDefault="00EA406B">
            <w:pPr>
              <w:pStyle w:val="NormalWeb"/>
              <w:spacing w:before="0" w:beforeAutospacing="0" w:after="0" w:afterAutospacing="0"/>
              <w:jc w:val="center"/>
            </w:pPr>
            <w:r>
              <w:rPr>
                <w:rFonts w:ascii="Segoe UI Emoji" w:hAnsi="Segoe UI Emoji" w:cs="Segoe UI Emoji"/>
                <w:color w:val="000000"/>
                <w:sz w:val="20"/>
                <w:szCs w:val="20"/>
              </w:rPr>
              <w:t>✔</w:t>
            </w:r>
            <w:r>
              <w:rPr>
                <w:color w:val="000000"/>
                <w:sz w:val="20"/>
                <w:szCs w:val="20"/>
              </w:rPr>
              <w:t xml:space="preserve"> Required</w:t>
            </w:r>
          </w:p>
        </w:tc>
      </w:tr>
      <w:tr w:rsidR="00EA406B" w14:paraId="2820BCF9" w14:textId="77777777">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323F0386" w14:textId="77777777" w:rsidR="00EA406B" w:rsidRDefault="00EA406B">
            <w:pPr>
              <w:pStyle w:val="NormalWeb"/>
              <w:spacing w:before="0" w:beforeAutospacing="0" w:after="0" w:afterAutospacing="0"/>
            </w:pPr>
            <w:r>
              <w:rPr>
                <w:b/>
                <w:bCs/>
                <w:color w:val="000000"/>
                <w:sz w:val="20"/>
                <w:szCs w:val="20"/>
              </w:rPr>
              <w:t>NAVTEX Receiver (518 kHz)</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36770645" w14:textId="77777777" w:rsidR="00EA406B" w:rsidRDefault="00EA406B">
            <w:pPr>
              <w:pStyle w:val="NormalWeb"/>
              <w:spacing w:before="0" w:beforeAutospacing="0" w:after="0" w:afterAutospacing="0"/>
              <w:jc w:val="center"/>
            </w:pPr>
            <w:r>
              <w:rPr>
                <w:rFonts w:ascii="Segoe UI Emoji" w:hAnsi="Segoe UI Emoji" w:cs="Segoe UI Emoji"/>
                <w:color w:val="000000"/>
                <w:sz w:val="20"/>
                <w:szCs w:val="20"/>
              </w:rPr>
              <w:t>✔</w:t>
            </w:r>
            <w:r>
              <w:rPr>
                <w:color w:val="000000"/>
                <w:sz w:val="20"/>
                <w:szCs w:val="20"/>
              </w:rPr>
              <w:t xml:space="preserve"> Required</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0F384FB3" w14:textId="77777777" w:rsidR="00EA406B" w:rsidRDefault="00EA406B">
            <w:pPr>
              <w:pStyle w:val="NormalWeb"/>
              <w:spacing w:before="0" w:beforeAutospacing="0" w:after="0" w:afterAutospacing="0"/>
              <w:jc w:val="center"/>
            </w:pPr>
            <w:r>
              <w:rPr>
                <w:rFonts w:ascii="Segoe UI Emoji" w:hAnsi="Segoe UI Emoji" w:cs="Segoe UI Emoji"/>
                <w:color w:val="000000"/>
                <w:sz w:val="20"/>
                <w:szCs w:val="20"/>
              </w:rPr>
              <w:t>✔</w:t>
            </w:r>
            <w:r>
              <w:rPr>
                <w:color w:val="000000"/>
                <w:sz w:val="20"/>
                <w:szCs w:val="20"/>
              </w:rPr>
              <w:t xml:space="preserve"> Required</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7E563634" w14:textId="77777777" w:rsidR="00EA406B" w:rsidRDefault="00EA406B">
            <w:pPr>
              <w:pStyle w:val="NormalWeb"/>
              <w:spacing w:before="0" w:beforeAutospacing="0" w:after="0" w:afterAutospacing="0"/>
              <w:jc w:val="center"/>
            </w:pPr>
            <w:r>
              <w:rPr>
                <w:rFonts w:ascii="Segoe UI Emoji" w:hAnsi="Segoe UI Emoji" w:cs="Segoe UI Emoji"/>
                <w:color w:val="000000"/>
                <w:sz w:val="20"/>
                <w:szCs w:val="20"/>
              </w:rPr>
              <w:t>✔</w:t>
            </w:r>
            <w:r>
              <w:rPr>
                <w:color w:val="000000"/>
                <w:sz w:val="20"/>
                <w:szCs w:val="20"/>
              </w:rPr>
              <w:t xml:space="preserve"> Required</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4C6A613A" w14:textId="77777777" w:rsidR="00EA406B" w:rsidRDefault="00EA406B">
            <w:pPr>
              <w:pStyle w:val="NormalWeb"/>
              <w:spacing w:before="0" w:beforeAutospacing="0" w:after="0" w:afterAutospacing="0"/>
              <w:jc w:val="center"/>
            </w:pPr>
            <w:r>
              <w:rPr>
                <w:rFonts w:ascii="Segoe UI Emoji" w:hAnsi="Segoe UI Emoji" w:cs="Segoe UI Emoji"/>
                <w:color w:val="000000"/>
                <w:sz w:val="20"/>
                <w:szCs w:val="20"/>
              </w:rPr>
              <w:t>✔</w:t>
            </w:r>
            <w:r>
              <w:rPr>
                <w:color w:val="000000"/>
                <w:sz w:val="20"/>
                <w:szCs w:val="20"/>
              </w:rPr>
              <w:t xml:space="preserve"> Required</w:t>
            </w:r>
          </w:p>
        </w:tc>
      </w:tr>
      <w:tr w:rsidR="00EA406B" w14:paraId="0FAB4774" w14:textId="77777777">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0AFE5A34" w14:textId="77777777" w:rsidR="00EA406B" w:rsidRDefault="00EA406B">
            <w:pPr>
              <w:pStyle w:val="NormalWeb"/>
              <w:spacing w:before="0" w:beforeAutospacing="0" w:after="0" w:afterAutospacing="0"/>
            </w:pPr>
            <w:proofErr w:type="spellStart"/>
            <w:r>
              <w:rPr>
                <w:b/>
                <w:bCs/>
                <w:color w:val="000000"/>
                <w:sz w:val="20"/>
                <w:szCs w:val="20"/>
              </w:rPr>
              <w:t>SafetyNET</w:t>
            </w:r>
            <w:proofErr w:type="spellEnd"/>
            <w:r>
              <w:rPr>
                <w:b/>
                <w:bCs/>
                <w:color w:val="000000"/>
                <w:sz w:val="20"/>
                <w:szCs w:val="20"/>
              </w:rPr>
              <w:t xml:space="preserve"> (INMARSAT C)</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5AD723C7" w14:textId="77777777" w:rsidR="00EA406B" w:rsidRDefault="00EA406B">
            <w:pPr>
              <w:pStyle w:val="NormalWeb"/>
              <w:spacing w:before="0" w:beforeAutospacing="0" w:after="0" w:afterAutospacing="0"/>
              <w:jc w:val="center"/>
            </w:pPr>
            <w:r>
              <w:rPr>
                <w:color w:val="000000"/>
                <w:sz w:val="20"/>
                <w:szCs w:val="20"/>
              </w:rPr>
              <w:t>—</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0A846D8D" w14:textId="77777777" w:rsidR="00EA406B" w:rsidRDefault="00EA406B">
            <w:pPr>
              <w:pStyle w:val="NormalWeb"/>
              <w:spacing w:before="0" w:beforeAutospacing="0" w:after="0" w:afterAutospacing="0"/>
              <w:jc w:val="center"/>
            </w:pPr>
            <w:r>
              <w:rPr>
                <w:color w:val="000000"/>
                <w:sz w:val="20"/>
                <w:szCs w:val="20"/>
              </w:rPr>
              <w:t>—</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156B6F0D" w14:textId="77777777" w:rsidR="00EA406B" w:rsidRDefault="00EA406B">
            <w:pPr>
              <w:pStyle w:val="NormalWeb"/>
              <w:spacing w:before="0" w:beforeAutospacing="0" w:after="0" w:afterAutospacing="0"/>
              <w:jc w:val="center"/>
            </w:pPr>
            <w:r>
              <w:rPr>
                <w:rFonts w:ascii="Segoe UI Emoji" w:hAnsi="Segoe UI Emoji" w:cs="Segoe UI Emoji"/>
                <w:color w:val="000000"/>
                <w:sz w:val="20"/>
                <w:szCs w:val="20"/>
              </w:rPr>
              <w:t>✔</w:t>
            </w:r>
            <w:r>
              <w:rPr>
                <w:color w:val="000000"/>
                <w:sz w:val="20"/>
                <w:szCs w:val="20"/>
              </w:rPr>
              <w:t xml:space="preserve"> Required</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558FFB5F" w14:textId="77777777" w:rsidR="00EA406B" w:rsidRDefault="00EA406B">
            <w:pPr>
              <w:pStyle w:val="NormalWeb"/>
              <w:spacing w:before="0" w:beforeAutospacing="0" w:after="0" w:afterAutospacing="0"/>
              <w:jc w:val="center"/>
            </w:pPr>
            <w:r>
              <w:rPr>
                <w:rFonts w:ascii="Segoe UI Emoji" w:hAnsi="Segoe UI Emoji" w:cs="Segoe UI Emoji"/>
                <w:color w:val="000000"/>
                <w:sz w:val="20"/>
                <w:szCs w:val="20"/>
              </w:rPr>
              <w:t>✔</w:t>
            </w:r>
            <w:r>
              <w:rPr>
                <w:color w:val="000000"/>
                <w:sz w:val="20"/>
                <w:szCs w:val="20"/>
              </w:rPr>
              <w:t xml:space="preserve"> Required</w:t>
            </w:r>
          </w:p>
        </w:tc>
      </w:tr>
      <w:tr w:rsidR="00EA406B" w14:paraId="11ECF25D" w14:textId="77777777">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38E0DBBF" w14:textId="77777777" w:rsidR="00EA406B" w:rsidRDefault="00EA406B">
            <w:pPr>
              <w:pStyle w:val="NormalWeb"/>
              <w:spacing w:before="0" w:beforeAutospacing="0" w:after="0" w:afterAutospacing="0"/>
            </w:pPr>
            <w:r>
              <w:rPr>
                <w:b/>
                <w:bCs/>
                <w:color w:val="000000"/>
                <w:sz w:val="20"/>
                <w:szCs w:val="20"/>
              </w:rPr>
              <w:t>SART or AIS-SART</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255B077A" w14:textId="77777777" w:rsidR="00EA406B" w:rsidRDefault="00EA406B">
            <w:pPr>
              <w:pStyle w:val="NormalWeb"/>
              <w:spacing w:before="0" w:beforeAutospacing="0" w:after="0" w:afterAutospacing="0"/>
              <w:jc w:val="center"/>
            </w:pPr>
            <w:r>
              <w:rPr>
                <w:rFonts w:ascii="Segoe UI Emoji" w:hAnsi="Segoe UI Emoji" w:cs="Segoe UI Emoji"/>
                <w:color w:val="000000"/>
                <w:sz w:val="20"/>
                <w:szCs w:val="20"/>
              </w:rPr>
              <w:t>✔</w:t>
            </w:r>
            <w:r>
              <w:rPr>
                <w:color w:val="000000"/>
                <w:sz w:val="20"/>
                <w:szCs w:val="20"/>
              </w:rPr>
              <w:t xml:space="preserve"> Required</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303AAC09" w14:textId="77777777" w:rsidR="00EA406B" w:rsidRDefault="00EA406B">
            <w:pPr>
              <w:pStyle w:val="NormalWeb"/>
              <w:spacing w:before="0" w:beforeAutospacing="0" w:after="0" w:afterAutospacing="0"/>
              <w:jc w:val="center"/>
            </w:pPr>
            <w:r>
              <w:rPr>
                <w:rFonts w:ascii="Segoe UI Emoji" w:hAnsi="Segoe UI Emoji" w:cs="Segoe UI Emoji"/>
                <w:color w:val="000000"/>
                <w:sz w:val="20"/>
                <w:szCs w:val="20"/>
              </w:rPr>
              <w:t>✔</w:t>
            </w:r>
            <w:r>
              <w:rPr>
                <w:color w:val="000000"/>
                <w:sz w:val="20"/>
                <w:szCs w:val="20"/>
              </w:rPr>
              <w:t xml:space="preserve"> Required</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55E6B181" w14:textId="77777777" w:rsidR="00EA406B" w:rsidRDefault="00EA406B">
            <w:pPr>
              <w:pStyle w:val="NormalWeb"/>
              <w:spacing w:before="0" w:beforeAutospacing="0" w:after="0" w:afterAutospacing="0"/>
              <w:jc w:val="center"/>
            </w:pPr>
            <w:r>
              <w:rPr>
                <w:rFonts w:ascii="Segoe UI Emoji" w:hAnsi="Segoe UI Emoji" w:cs="Segoe UI Emoji"/>
                <w:color w:val="000000"/>
                <w:sz w:val="20"/>
                <w:szCs w:val="20"/>
              </w:rPr>
              <w:t>✔</w:t>
            </w:r>
            <w:r>
              <w:rPr>
                <w:color w:val="000000"/>
                <w:sz w:val="20"/>
                <w:szCs w:val="20"/>
              </w:rPr>
              <w:t xml:space="preserve"> Required</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0E3492B5" w14:textId="77777777" w:rsidR="00EA406B" w:rsidRDefault="00EA406B">
            <w:pPr>
              <w:pStyle w:val="NormalWeb"/>
              <w:spacing w:before="0" w:beforeAutospacing="0" w:after="0" w:afterAutospacing="0"/>
              <w:jc w:val="center"/>
            </w:pPr>
            <w:r>
              <w:rPr>
                <w:rFonts w:ascii="Segoe UI Emoji" w:hAnsi="Segoe UI Emoji" w:cs="Segoe UI Emoji"/>
                <w:color w:val="000000"/>
                <w:sz w:val="20"/>
                <w:szCs w:val="20"/>
              </w:rPr>
              <w:t>✔</w:t>
            </w:r>
            <w:r>
              <w:rPr>
                <w:color w:val="000000"/>
                <w:sz w:val="20"/>
                <w:szCs w:val="20"/>
              </w:rPr>
              <w:t xml:space="preserve"> Required</w:t>
            </w:r>
          </w:p>
        </w:tc>
      </w:tr>
      <w:tr w:rsidR="00EA406B" w14:paraId="683A1E6F" w14:textId="77777777">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4A1A8DA3" w14:textId="77777777" w:rsidR="00EA406B" w:rsidRDefault="00EA406B">
            <w:pPr>
              <w:pStyle w:val="NormalWeb"/>
              <w:spacing w:before="0" w:beforeAutospacing="0" w:after="0" w:afterAutospacing="0"/>
            </w:pPr>
            <w:r>
              <w:rPr>
                <w:b/>
                <w:bCs/>
                <w:color w:val="000000"/>
                <w:sz w:val="20"/>
                <w:szCs w:val="20"/>
              </w:rPr>
              <w:t>VHF Portable Sets (×3)</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77B8745D" w14:textId="77777777" w:rsidR="00EA406B" w:rsidRDefault="00EA406B">
            <w:pPr>
              <w:pStyle w:val="NormalWeb"/>
              <w:spacing w:before="0" w:beforeAutospacing="0" w:after="0" w:afterAutospacing="0"/>
              <w:jc w:val="center"/>
            </w:pPr>
            <w:r>
              <w:rPr>
                <w:rFonts w:ascii="Segoe UI Emoji" w:hAnsi="Segoe UI Emoji" w:cs="Segoe UI Emoji"/>
                <w:color w:val="000000"/>
                <w:sz w:val="20"/>
                <w:szCs w:val="20"/>
              </w:rPr>
              <w:t>✔</w:t>
            </w:r>
            <w:r>
              <w:rPr>
                <w:color w:val="000000"/>
                <w:sz w:val="20"/>
                <w:szCs w:val="20"/>
              </w:rPr>
              <w:t xml:space="preserve"> Required</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7A54FEEE" w14:textId="77777777" w:rsidR="00EA406B" w:rsidRDefault="00EA406B">
            <w:pPr>
              <w:pStyle w:val="NormalWeb"/>
              <w:spacing w:before="0" w:beforeAutospacing="0" w:after="0" w:afterAutospacing="0"/>
              <w:jc w:val="center"/>
            </w:pPr>
            <w:r>
              <w:rPr>
                <w:rFonts w:ascii="Segoe UI Emoji" w:hAnsi="Segoe UI Emoji" w:cs="Segoe UI Emoji"/>
                <w:color w:val="000000"/>
                <w:sz w:val="20"/>
                <w:szCs w:val="20"/>
              </w:rPr>
              <w:t>✔</w:t>
            </w:r>
            <w:r>
              <w:rPr>
                <w:color w:val="000000"/>
                <w:sz w:val="20"/>
                <w:szCs w:val="20"/>
              </w:rPr>
              <w:t xml:space="preserve"> Required</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29C4E6ED" w14:textId="77777777" w:rsidR="00EA406B" w:rsidRDefault="00EA406B">
            <w:pPr>
              <w:pStyle w:val="NormalWeb"/>
              <w:spacing w:before="0" w:beforeAutospacing="0" w:after="0" w:afterAutospacing="0"/>
              <w:jc w:val="center"/>
            </w:pPr>
            <w:r>
              <w:rPr>
                <w:rFonts w:ascii="Segoe UI Emoji" w:hAnsi="Segoe UI Emoji" w:cs="Segoe UI Emoji"/>
                <w:color w:val="000000"/>
                <w:sz w:val="20"/>
                <w:szCs w:val="20"/>
              </w:rPr>
              <w:t>✔</w:t>
            </w:r>
            <w:r>
              <w:rPr>
                <w:color w:val="000000"/>
                <w:sz w:val="20"/>
                <w:szCs w:val="20"/>
              </w:rPr>
              <w:t xml:space="preserve"> Required</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01DBCC52" w14:textId="77777777" w:rsidR="00EA406B" w:rsidRDefault="00EA406B">
            <w:pPr>
              <w:pStyle w:val="NormalWeb"/>
              <w:spacing w:before="0" w:beforeAutospacing="0" w:after="0" w:afterAutospacing="0"/>
              <w:jc w:val="center"/>
            </w:pPr>
            <w:r>
              <w:rPr>
                <w:rFonts w:ascii="Segoe UI Emoji" w:hAnsi="Segoe UI Emoji" w:cs="Segoe UI Emoji"/>
                <w:color w:val="000000"/>
                <w:sz w:val="20"/>
                <w:szCs w:val="20"/>
              </w:rPr>
              <w:t>✔</w:t>
            </w:r>
            <w:r>
              <w:rPr>
                <w:color w:val="000000"/>
                <w:sz w:val="20"/>
                <w:szCs w:val="20"/>
              </w:rPr>
              <w:t xml:space="preserve"> Required</w:t>
            </w:r>
          </w:p>
        </w:tc>
      </w:tr>
    </w:tbl>
    <w:p w14:paraId="18AE6E75" w14:textId="77777777" w:rsidR="00EA406B" w:rsidRDefault="00EA406B">
      <w:pPr>
        <w:rPr>
          <w:rFonts w:eastAsia="Times New Roman"/>
        </w:rPr>
      </w:pPr>
    </w:p>
    <w:p w14:paraId="76D038B8" w14:textId="77777777" w:rsidR="00EA406B" w:rsidRDefault="00EA406B">
      <w:pPr>
        <w:pStyle w:val="NormalWeb"/>
        <w:spacing w:before="0" w:beforeAutospacing="0" w:after="160" w:afterAutospacing="0"/>
        <w:ind w:firstLine="720"/>
        <w:jc w:val="both"/>
      </w:pPr>
      <w:r>
        <w:rPr>
          <w:color w:val="000000"/>
        </w:rPr>
        <w:t xml:space="preserve">The equipment listed in Table 1 ensures that regardless of where a vessel is operating, every one of the four functional components of GMDSS is covered. Redundancy is built into the system through overlapping technologies — for example, a vessel in A3 has both INMARSAT C and VHF/MF DSC for distress alerting, and both NAVTEX and </w:t>
      </w:r>
      <w:proofErr w:type="spellStart"/>
      <w:r>
        <w:rPr>
          <w:color w:val="000000"/>
        </w:rPr>
        <w:t>SafetyNET</w:t>
      </w:r>
      <w:proofErr w:type="spellEnd"/>
      <w:r>
        <w:rPr>
          <w:color w:val="000000"/>
        </w:rPr>
        <w:t xml:space="preserve"> for maritime safety information (IMO, 2018).</w:t>
      </w:r>
    </w:p>
    <w:p w14:paraId="2D1CF038" w14:textId="77777777" w:rsidR="00EA406B" w:rsidRDefault="00EA406B">
      <w:pPr>
        <w:pStyle w:val="Heading2"/>
        <w:spacing w:before="300" w:after="160"/>
        <w:rPr>
          <w:rFonts w:eastAsia="Times New Roman"/>
        </w:rPr>
      </w:pPr>
      <w:r>
        <w:rPr>
          <w:rFonts w:eastAsia="Times New Roman"/>
          <w:color w:val="2E74B5"/>
          <w:sz w:val="24"/>
          <w:szCs w:val="24"/>
        </w:rPr>
        <w:t>1.3 The Four Core Components of GMDSS</w:t>
      </w:r>
    </w:p>
    <w:p w14:paraId="4A38541C" w14:textId="77777777" w:rsidR="00EA406B" w:rsidRDefault="00EA406B">
      <w:pPr>
        <w:pStyle w:val="Heading3"/>
        <w:spacing w:before="240" w:after="120"/>
        <w:rPr>
          <w:rFonts w:eastAsia="Times New Roman"/>
        </w:rPr>
      </w:pPr>
      <w:r>
        <w:rPr>
          <w:rFonts w:eastAsia="Times New Roman"/>
          <w:i/>
          <w:iCs/>
          <w:color w:val="2E74B5"/>
          <w:sz w:val="24"/>
          <w:szCs w:val="24"/>
        </w:rPr>
        <w:t>1.3.1 Component 1 — Distress Alerting</w:t>
      </w:r>
    </w:p>
    <w:p w14:paraId="6DFF7FC0" w14:textId="77777777" w:rsidR="00EA406B" w:rsidRDefault="00EA406B">
      <w:pPr>
        <w:pStyle w:val="NormalWeb"/>
        <w:spacing w:before="0" w:beforeAutospacing="0" w:after="160" w:afterAutospacing="0"/>
        <w:ind w:firstLine="720"/>
        <w:jc w:val="both"/>
      </w:pPr>
      <w:r>
        <w:rPr>
          <w:color w:val="000000"/>
        </w:rPr>
        <w:t xml:space="preserve">Distress alerting is the foundational function of GMDSS and the one that most directly determines whether lives are saved when a vessel is in danger. It is the mechanism by which a ship in distress can transmit a call for help to shore rescue coordination </w:t>
      </w:r>
      <w:proofErr w:type="spellStart"/>
      <w:r>
        <w:rPr>
          <w:color w:val="000000"/>
        </w:rPr>
        <w:t>centres</w:t>
      </w:r>
      <w:proofErr w:type="spellEnd"/>
      <w:r>
        <w:rPr>
          <w:color w:val="000000"/>
        </w:rPr>
        <w:t xml:space="preserve"> and nearby vessels simultaneously, automatically, and with minimal human intervention. Three primary technologies serve this function: Digital Selective Calling (DSC), Emergency Position-Indicating Radio Beacons (EPIRBs), and the INMARSAT satellite communication system.</w:t>
      </w:r>
    </w:p>
    <w:p w14:paraId="7DD4D0D2" w14:textId="090B22C7" w:rsidR="00EA406B" w:rsidRDefault="00EA406B">
      <w:pPr>
        <w:pStyle w:val="NormalWeb"/>
        <w:spacing w:before="0" w:beforeAutospacing="0" w:after="160" w:afterAutospacing="0"/>
        <w:ind w:firstLine="720"/>
        <w:jc w:val="both"/>
      </w:pPr>
      <w:r>
        <w:rPr>
          <w:color w:val="000000"/>
        </w:rPr>
        <w:t xml:space="preserve">Digital Selective Calling is a </w:t>
      </w:r>
      <w:proofErr w:type="spellStart"/>
      <w:r>
        <w:rPr>
          <w:color w:val="000000"/>
        </w:rPr>
        <w:t>standardised</w:t>
      </w:r>
      <w:proofErr w:type="spellEnd"/>
      <w:r>
        <w:rPr>
          <w:color w:val="000000"/>
        </w:rPr>
        <w:t xml:space="preserve"> digital protocol that operates on the dedicated international distress and calling frequencies — Channel 70 on VHF (156.525 MHz), 2187.5 kHz on MF, and 8414.5 kHz (and others) on HF. When the </w:t>
      </w:r>
      <w:proofErr w:type="spellStart"/>
      <w:r>
        <w:rPr>
          <w:color w:val="000000"/>
        </w:rPr>
        <w:t>watchkeeping</w:t>
      </w:r>
      <w:proofErr w:type="spellEnd"/>
      <w:r>
        <w:rPr>
          <w:color w:val="000000"/>
        </w:rPr>
        <w:t xml:space="preserve"> officer presses the dedicated DSC distress button and holds it for five seconds, the DSC controller transmits a coded digital message containing the vessel's MMSI number, the GPS-derived position (if interfaced), the nature of the distress, and a request for assistance. This message is received automatically by all vessels and coast stations within VHF/MF/HF range whose DSC watch receivers are active — which is a mandatory requirement under SOLAS for all GMDSS ships. Unlike a voice radio call, which requires someone to be listening, a DSC alert activates a dedicated alarm on the receiving vessel's DSC controller (</w:t>
      </w:r>
      <w:proofErr w:type="spellStart"/>
      <w:r>
        <w:rPr>
          <w:color w:val="000000"/>
        </w:rPr>
        <w:t>Nordström</w:t>
      </w:r>
      <w:proofErr w:type="spellEnd"/>
      <w:r>
        <w:rPr>
          <w:color w:val="000000"/>
        </w:rPr>
        <w:t xml:space="preserve"> &amp; </w:t>
      </w:r>
      <w:proofErr w:type="spellStart"/>
      <w:r>
        <w:rPr>
          <w:color w:val="000000"/>
        </w:rPr>
        <w:t>Götberg</w:t>
      </w:r>
      <w:proofErr w:type="spellEnd"/>
      <w:r>
        <w:rPr>
          <w:color w:val="000000"/>
        </w:rPr>
        <w:t>, 2020).</w:t>
      </w:r>
    </w:p>
    <w:p w14:paraId="685C1407" w14:textId="77777777" w:rsidR="00EA406B" w:rsidRDefault="00EA406B">
      <w:pPr>
        <w:pStyle w:val="NormalWeb"/>
        <w:spacing w:before="0" w:beforeAutospacing="0" w:after="160" w:afterAutospacing="0"/>
        <w:ind w:firstLine="720"/>
        <w:jc w:val="both"/>
      </w:pPr>
      <w:r>
        <w:rPr>
          <w:color w:val="000000"/>
        </w:rPr>
        <w:lastRenderedPageBreak/>
        <w:t xml:space="preserve">Category 1 EPIRBs provide a complementary and largely automatic layer of alerting. Mounted in a hydrostatic release bracket on the bridge wing or other exposed position, a Category 1 EPIRB is designed to float free of a sinking vessel at a depth of between 1.5 and 4 </w:t>
      </w:r>
      <w:proofErr w:type="spellStart"/>
      <w:r>
        <w:rPr>
          <w:color w:val="000000"/>
        </w:rPr>
        <w:t>metres</w:t>
      </w:r>
      <w:proofErr w:type="spellEnd"/>
      <w:r>
        <w:rPr>
          <w:color w:val="000000"/>
        </w:rPr>
        <w:t xml:space="preserve"> and to activate automatically upon immersion in seawater. Once activated, it transmits a 5-watt signal on 406 MHz to the COSPAS-SARSAT low-Earth-orbit satellite network. The satellites downlink the signal to ground stations called Local User Terminals (LUTs), which compute the EPIRB's position and route the distress message — including the vessel's registration identity and GPS position accurate to within 100 </w:t>
      </w:r>
      <w:proofErr w:type="spellStart"/>
      <w:r>
        <w:rPr>
          <w:color w:val="000000"/>
        </w:rPr>
        <w:t>metres</w:t>
      </w:r>
      <w:proofErr w:type="spellEnd"/>
      <w:r>
        <w:rPr>
          <w:color w:val="000000"/>
        </w:rPr>
        <w:t xml:space="preserve"> — to the nearest Maritime Rescue Coordination Centre (MRCC) within minutes. A 121.5 MHz homing beacon is also transmitted for use by SAR aircraft (Pereira &amp; Bernardino, 2021).</w:t>
      </w:r>
    </w:p>
    <w:p w14:paraId="2F79479B" w14:textId="77777777" w:rsidR="00EA406B" w:rsidRDefault="00EA406B">
      <w:pPr>
        <w:pStyle w:val="NormalWeb"/>
        <w:spacing w:before="0" w:beforeAutospacing="0" w:after="160" w:afterAutospacing="0"/>
        <w:ind w:firstLine="720"/>
        <w:jc w:val="both"/>
      </w:pPr>
      <w:r>
        <w:rPr>
          <w:color w:val="000000"/>
        </w:rPr>
        <w:t>The INMARSAT distress messaging service completes the alerting triad for vessels in Sea Area A3. An INMARSAT C terminal — a low-data-rate, two-way telex terminal — provides a Priority 3 distress button that routes a formatted distress telex message through the geostationary INMARSAT satellite to the nearest MRCC. INMARSAT distress messages have the advantage of being fully text-based and permanently recorded, which is valuable both for the accuracy of the SAR response and for subsequent accident investigation (IMO, 2018).</w:t>
      </w:r>
    </w:p>
    <w:p w14:paraId="5ABCD0D6" w14:textId="77777777" w:rsidR="00EA406B" w:rsidRDefault="00EA406B">
      <w:pPr>
        <w:pStyle w:val="Heading3"/>
        <w:spacing w:before="240" w:after="120"/>
        <w:rPr>
          <w:rFonts w:eastAsia="Times New Roman"/>
        </w:rPr>
      </w:pPr>
      <w:r>
        <w:rPr>
          <w:rFonts w:eastAsia="Times New Roman"/>
          <w:i/>
          <w:iCs/>
          <w:color w:val="2E74B5"/>
          <w:sz w:val="24"/>
          <w:szCs w:val="24"/>
        </w:rPr>
        <w:t>1.3.2 Component 2 — Search and Rescue Coordination</w:t>
      </w:r>
    </w:p>
    <w:p w14:paraId="18A47F2E" w14:textId="77777777" w:rsidR="00EA406B" w:rsidRDefault="00EA406B">
      <w:pPr>
        <w:pStyle w:val="NormalWeb"/>
        <w:spacing w:before="0" w:beforeAutospacing="0" w:after="160" w:afterAutospacing="0"/>
        <w:ind w:firstLine="720"/>
        <w:jc w:val="both"/>
      </w:pPr>
      <w:r>
        <w:rPr>
          <w:color w:val="000000"/>
        </w:rPr>
        <w:t>Once a distress alert has been received and acknowledged, the second functional component of GMDSS — SAR coordination communication — provides the infrastructure through which the rescue operation is planned and directed. The international distress and safety channel, VHF Channel 16, is the primary SAR coordination frequency for vessels in coastal and ocean areas. Shore-based MRCCs maintain continuous watch on Channel 16 and coordinate the response to distress incidents, directing SAR assets — coast guard vessels, naval units, merchant ships in the vicinity, and helicopter crews — to the scene of the emergency.</w:t>
      </w:r>
    </w:p>
    <w:p w14:paraId="79AFCE97" w14:textId="77777777" w:rsidR="00EA406B" w:rsidRDefault="00EA406B">
      <w:pPr>
        <w:pStyle w:val="NormalWeb"/>
        <w:spacing w:before="0" w:beforeAutospacing="0" w:after="160" w:afterAutospacing="0"/>
        <w:ind w:firstLine="720"/>
        <w:jc w:val="both"/>
      </w:pPr>
      <w:r>
        <w:rPr>
          <w:color w:val="000000"/>
        </w:rPr>
        <w:t>Vessels diverting to assist a distress are instructed by the MRCC to communicate with each other on a designated working frequency — typically VHF Channel 6 in the North Atlantic and many other ocean areas — while maintaining a listening watch on Channel 16. This on-scene coordination ensures that multiple assisting vessels do not duplicate each other's search efforts and that the MRCC maintains overall situational awareness of the rescue operation. For vessels in INMARSAT coverage, the Inmarsat Fleet Safety service provides an additional text-based channel for coordinating with the MRCC without tying up the VHF voice channel (Pereira &amp; Bernardino, 2021).</w:t>
      </w:r>
    </w:p>
    <w:p w14:paraId="6895709D" w14:textId="77777777" w:rsidR="00EA406B" w:rsidRDefault="00EA406B">
      <w:pPr>
        <w:pStyle w:val="NormalWeb"/>
        <w:spacing w:before="0" w:beforeAutospacing="0" w:after="160" w:afterAutospacing="0"/>
        <w:ind w:firstLine="720"/>
        <w:jc w:val="both"/>
      </w:pPr>
      <w:r>
        <w:rPr>
          <w:color w:val="000000"/>
        </w:rPr>
        <w:t xml:space="preserve">SAR coordination in the Gulf of Guinea is managed through a network of MRCCs under the framework of the ECOWAS Integrated Maritime Strategy (EIMS) and the Yaoundé Code of Conduct (2013), which established a regional maritime security and SAR coordination architecture covering 25 countries from Mauritania to Tanzania. Nigeria's MRCC, operated by NIMASA in Lagos, is the primary coordination </w:t>
      </w:r>
      <w:proofErr w:type="spellStart"/>
      <w:r>
        <w:rPr>
          <w:color w:val="000000"/>
        </w:rPr>
        <w:t>centre</w:t>
      </w:r>
      <w:proofErr w:type="spellEnd"/>
      <w:r>
        <w:rPr>
          <w:color w:val="000000"/>
        </w:rPr>
        <w:t xml:space="preserve"> for Nigerian waters, and it participates in the regional information-sharing and SAR coordination arrangements through the Maritime Operations and Coordination Centre (MOCC) and Zone F (NIMASA, 2022).</w:t>
      </w:r>
    </w:p>
    <w:p w14:paraId="480E1751" w14:textId="77777777" w:rsidR="00EA406B" w:rsidRDefault="00EA406B">
      <w:pPr>
        <w:pStyle w:val="Heading3"/>
        <w:spacing w:before="240" w:after="120"/>
        <w:rPr>
          <w:rFonts w:eastAsia="Times New Roman"/>
        </w:rPr>
      </w:pPr>
      <w:r>
        <w:rPr>
          <w:rFonts w:eastAsia="Times New Roman"/>
          <w:i/>
          <w:iCs/>
          <w:color w:val="2E74B5"/>
          <w:sz w:val="24"/>
          <w:szCs w:val="24"/>
        </w:rPr>
        <w:t>1.3.3 Component 3 — Locating</w:t>
      </w:r>
    </w:p>
    <w:p w14:paraId="5FA167EC" w14:textId="77777777" w:rsidR="00EA406B" w:rsidRDefault="00EA406B">
      <w:pPr>
        <w:pStyle w:val="NormalWeb"/>
        <w:spacing w:before="0" w:beforeAutospacing="0" w:after="160" w:afterAutospacing="0"/>
        <w:ind w:firstLine="720"/>
        <w:jc w:val="both"/>
      </w:pPr>
      <w:r>
        <w:rPr>
          <w:color w:val="000000"/>
        </w:rPr>
        <w:t xml:space="preserve">The locating component addresses one of the most operationally critical challenges in search and rescue: finding survivors in the vastness of the ocean. No matter how quickly a distress </w:t>
      </w:r>
      <w:r>
        <w:rPr>
          <w:color w:val="000000"/>
        </w:rPr>
        <w:lastRenderedPageBreak/>
        <w:t xml:space="preserve">alert is transmitted and how rapidly SAR assets are </w:t>
      </w:r>
      <w:proofErr w:type="spellStart"/>
      <w:r>
        <w:rPr>
          <w:color w:val="000000"/>
        </w:rPr>
        <w:t>mobilised</w:t>
      </w:r>
      <w:proofErr w:type="spellEnd"/>
      <w:r>
        <w:rPr>
          <w:color w:val="000000"/>
        </w:rPr>
        <w:t>, they cannot rescue survivors they cannot find. Three technologies serve the locating function under GMDSS: Search and Rescue Transponders (SARTs), AIS-SARTs, and Personal Locator Beacons (PLBs), all working in conjunction with the position data transmitted by the EPIRB.</w:t>
      </w:r>
    </w:p>
    <w:p w14:paraId="4E1CBF58" w14:textId="77777777" w:rsidR="00EA406B" w:rsidRDefault="00EA406B">
      <w:pPr>
        <w:pStyle w:val="NormalWeb"/>
        <w:spacing w:before="0" w:beforeAutospacing="0" w:after="160" w:afterAutospacing="0"/>
        <w:ind w:firstLine="720"/>
        <w:jc w:val="both"/>
      </w:pPr>
      <w:r>
        <w:rPr>
          <w:color w:val="000000"/>
        </w:rPr>
        <w:t xml:space="preserve">The 9 GHz SART is a battery-powered transponder that, when activated, responds to interrogation by an X-band (9 GHz) radar aboard a searching vessel or aircraft by transmitting a series of twelve dots on the radar display, beginning at the SART's position and extending away from the interrogating radar. This distinctive twelve-dot pattern, appearing as a straight line on the radar screen, is immediately </w:t>
      </w:r>
      <w:proofErr w:type="spellStart"/>
      <w:r>
        <w:rPr>
          <w:color w:val="000000"/>
        </w:rPr>
        <w:t>recognisable</w:t>
      </w:r>
      <w:proofErr w:type="spellEnd"/>
      <w:r>
        <w:rPr>
          <w:color w:val="000000"/>
        </w:rPr>
        <w:t xml:space="preserve"> to a trained operator and allows the rescuing vessel to steer directly toward the survivor's position. SARTs can typically be detected at ranges of up to 10 nautical miles from a ship and greater distances from aircraft (IMO, 2018). The AIS-SART, a newer technology, transmits an AIS target that appears on the ECDIS display as a vessel named 'SART ACTIVE' with a distinctive MMSI prefix (97XXXXXXX), providing detection at potentially greater ranges and through the AIS displays of all equipped vessels in the area without requiring active radar interrogation (Pereira &amp; Bernardino, 2021).</w:t>
      </w:r>
    </w:p>
    <w:p w14:paraId="3FE5816A" w14:textId="77777777" w:rsidR="00EA406B" w:rsidRDefault="00EA406B">
      <w:pPr>
        <w:pStyle w:val="NormalWeb"/>
        <w:spacing w:before="200" w:beforeAutospacing="0" w:after="80" w:afterAutospacing="0"/>
        <w:jc w:val="center"/>
      </w:pPr>
      <w:r>
        <w:rPr>
          <w:b/>
          <w:bCs/>
          <w:color w:val="1F4E79"/>
          <w:sz w:val="20"/>
          <w:szCs w:val="20"/>
        </w:rPr>
        <w:t>Table 2: Comparison of GMDSS Locating Devices</w:t>
      </w:r>
    </w:p>
    <w:tbl>
      <w:tblPr>
        <w:tblW w:w="0" w:type="auto"/>
        <w:tblCellMar>
          <w:top w:w="15" w:type="dxa"/>
          <w:left w:w="15" w:type="dxa"/>
          <w:bottom w:w="15" w:type="dxa"/>
          <w:right w:w="15" w:type="dxa"/>
        </w:tblCellMar>
        <w:tblLook w:val="04A0" w:firstRow="1" w:lastRow="0" w:firstColumn="1" w:lastColumn="0" w:noHBand="0" w:noVBand="1"/>
      </w:tblPr>
      <w:tblGrid>
        <w:gridCol w:w="2166"/>
        <w:gridCol w:w="1974"/>
        <w:gridCol w:w="1539"/>
        <w:gridCol w:w="2052"/>
        <w:gridCol w:w="1613"/>
      </w:tblGrid>
      <w:tr w:rsidR="00EA406B" w14:paraId="047842F1" w14:textId="77777777">
        <w:tc>
          <w:tcPr>
            <w:tcW w:w="0" w:type="auto"/>
            <w:tcBorders>
              <w:top w:val="single" w:sz="6" w:space="0" w:color="2E74B5"/>
              <w:left w:val="single" w:sz="6" w:space="0" w:color="2E74B5"/>
              <w:bottom w:val="single" w:sz="6" w:space="0" w:color="2E74B5"/>
              <w:right w:val="single" w:sz="6" w:space="0" w:color="2E74B5"/>
            </w:tcBorders>
            <w:shd w:val="clear" w:color="auto" w:fill="1F4E79"/>
            <w:tcMar>
              <w:top w:w="80" w:type="dxa"/>
              <w:left w:w="120" w:type="dxa"/>
              <w:bottom w:w="80" w:type="dxa"/>
              <w:right w:w="120" w:type="dxa"/>
            </w:tcMar>
            <w:vAlign w:val="center"/>
            <w:hideMark/>
          </w:tcPr>
          <w:p w14:paraId="62A28F4E" w14:textId="77777777" w:rsidR="00EA406B" w:rsidRDefault="00EA406B">
            <w:pPr>
              <w:pStyle w:val="NormalWeb"/>
              <w:spacing w:before="0" w:beforeAutospacing="0" w:after="0" w:afterAutospacing="0"/>
              <w:jc w:val="center"/>
            </w:pPr>
            <w:r>
              <w:rPr>
                <w:b/>
                <w:bCs/>
                <w:color w:val="FFFFFF"/>
                <w:sz w:val="20"/>
                <w:szCs w:val="20"/>
              </w:rPr>
              <w:t>Device</w:t>
            </w:r>
          </w:p>
        </w:tc>
        <w:tc>
          <w:tcPr>
            <w:tcW w:w="0" w:type="auto"/>
            <w:tcBorders>
              <w:top w:val="single" w:sz="6" w:space="0" w:color="2E74B5"/>
              <w:left w:val="single" w:sz="6" w:space="0" w:color="2E74B5"/>
              <w:bottom w:val="single" w:sz="6" w:space="0" w:color="2E74B5"/>
              <w:right w:val="single" w:sz="6" w:space="0" w:color="2E74B5"/>
            </w:tcBorders>
            <w:shd w:val="clear" w:color="auto" w:fill="1F4E79"/>
            <w:tcMar>
              <w:top w:w="80" w:type="dxa"/>
              <w:left w:w="120" w:type="dxa"/>
              <w:bottom w:w="80" w:type="dxa"/>
              <w:right w:w="120" w:type="dxa"/>
            </w:tcMar>
            <w:vAlign w:val="center"/>
            <w:hideMark/>
          </w:tcPr>
          <w:p w14:paraId="11608E56" w14:textId="77777777" w:rsidR="00EA406B" w:rsidRDefault="00EA406B">
            <w:pPr>
              <w:pStyle w:val="NormalWeb"/>
              <w:spacing w:before="0" w:beforeAutospacing="0" w:after="0" w:afterAutospacing="0"/>
              <w:jc w:val="center"/>
            </w:pPr>
            <w:r>
              <w:rPr>
                <w:b/>
                <w:bCs/>
                <w:color w:val="FFFFFF"/>
                <w:sz w:val="20"/>
                <w:szCs w:val="20"/>
              </w:rPr>
              <w:t>Technology</w:t>
            </w:r>
          </w:p>
        </w:tc>
        <w:tc>
          <w:tcPr>
            <w:tcW w:w="0" w:type="auto"/>
            <w:tcBorders>
              <w:top w:val="single" w:sz="6" w:space="0" w:color="2E74B5"/>
              <w:left w:val="single" w:sz="6" w:space="0" w:color="2E74B5"/>
              <w:bottom w:val="single" w:sz="6" w:space="0" w:color="2E74B5"/>
              <w:right w:val="single" w:sz="6" w:space="0" w:color="2E74B5"/>
            </w:tcBorders>
            <w:shd w:val="clear" w:color="auto" w:fill="1F4E79"/>
            <w:tcMar>
              <w:top w:w="80" w:type="dxa"/>
              <w:left w:w="120" w:type="dxa"/>
              <w:bottom w:w="80" w:type="dxa"/>
              <w:right w:w="120" w:type="dxa"/>
            </w:tcMar>
            <w:vAlign w:val="center"/>
            <w:hideMark/>
          </w:tcPr>
          <w:p w14:paraId="40413B67" w14:textId="77777777" w:rsidR="00EA406B" w:rsidRDefault="00EA406B">
            <w:pPr>
              <w:pStyle w:val="NormalWeb"/>
              <w:spacing w:before="0" w:beforeAutospacing="0" w:after="0" w:afterAutospacing="0"/>
              <w:jc w:val="center"/>
            </w:pPr>
            <w:r>
              <w:rPr>
                <w:b/>
                <w:bCs/>
                <w:color w:val="FFFFFF"/>
                <w:sz w:val="20"/>
                <w:szCs w:val="20"/>
              </w:rPr>
              <w:t>Detection Range</w:t>
            </w:r>
          </w:p>
        </w:tc>
        <w:tc>
          <w:tcPr>
            <w:tcW w:w="0" w:type="auto"/>
            <w:tcBorders>
              <w:top w:val="single" w:sz="6" w:space="0" w:color="2E74B5"/>
              <w:left w:val="single" w:sz="6" w:space="0" w:color="2E74B5"/>
              <w:bottom w:val="single" w:sz="6" w:space="0" w:color="2E74B5"/>
              <w:right w:val="single" w:sz="6" w:space="0" w:color="2E74B5"/>
            </w:tcBorders>
            <w:shd w:val="clear" w:color="auto" w:fill="1F4E79"/>
            <w:tcMar>
              <w:top w:w="80" w:type="dxa"/>
              <w:left w:w="120" w:type="dxa"/>
              <w:bottom w:w="80" w:type="dxa"/>
              <w:right w:w="120" w:type="dxa"/>
            </w:tcMar>
            <w:vAlign w:val="center"/>
            <w:hideMark/>
          </w:tcPr>
          <w:p w14:paraId="2190C72B" w14:textId="77777777" w:rsidR="00EA406B" w:rsidRDefault="00EA406B">
            <w:pPr>
              <w:pStyle w:val="NormalWeb"/>
              <w:spacing w:before="0" w:beforeAutospacing="0" w:after="0" w:afterAutospacing="0"/>
              <w:jc w:val="center"/>
            </w:pPr>
            <w:r>
              <w:rPr>
                <w:b/>
                <w:bCs/>
                <w:color w:val="FFFFFF"/>
                <w:sz w:val="20"/>
                <w:szCs w:val="20"/>
              </w:rPr>
              <w:t>Detected By</w:t>
            </w:r>
          </w:p>
        </w:tc>
        <w:tc>
          <w:tcPr>
            <w:tcW w:w="0" w:type="auto"/>
            <w:tcBorders>
              <w:top w:val="single" w:sz="6" w:space="0" w:color="2E74B5"/>
              <w:left w:val="single" w:sz="6" w:space="0" w:color="2E74B5"/>
              <w:bottom w:val="single" w:sz="6" w:space="0" w:color="2E74B5"/>
              <w:right w:val="single" w:sz="6" w:space="0" w:color="2E74B5"/>
            </w:tcBorders>
            <w:shd w:val="clear" w:color="auto" w:fill="1F4E79"/>
            <w:tcMar>
              <w:top w:w="80" w:type="dxa"/>
              <w:left w:w="120" w:type="dxa"/>
              <w:bottom w:w="80" w:type="dxa"/>
              <w:right w:w="120" w:type="dxa"/>
            </w:tcMar>
            <w:vAlign w:val="center"/>
            <w:hideMark/>
          </w:tcPr>
          <w:p w14:paraId="4A3593EA" w14:textId="77777777" w:rsidR="00EA406B" w:rsidRDefault="00EA406B">
            <w:pPr>
              <w:pStyle w:val="NormalWeb"/>
              <w:spacing w:before="0" w:beforeAutospacing="0" w:after="0" w:afterAutospacing="0"/>
              <w:jc w:val="center"/>
            </w:pPr>
            <w:r>
              <w:rPr>
                <w:b/>
                <w:bCs/>
                <w:color w:val="FFFFFF"/>
                <w:sz w:val="20"/>
                <w:szCs w:val="20"/>
              </w:rPr>
              <w:t>Activation</w:t>
            </w:r>
          </w:p>
        </w:tc>
      </w:tr>
      <w:tr w:rsidR="00EA406B" w14:paraId="22AEF7B4" w14:textId="77777777">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14ACBD3E" w14:textId="77777777" w:rsidR="00EA406B" w:rsidRDefault="00EA406B">
            <w:pPr>
              <w:pStyle w:val="NormalWeb"/>
              <w:spacing w:before="0" w:beforeAutospacing="0" w:after="0" w:afterAutospacing="0"/>
            </w:pPr>
            <w:r>
              <w:rPr>
                <w:b/>
                <w:bCs/>
                <w:color w:val="000000"/>
                <w:sz w:val="20"/>
                <w:szCs w:val="20"/>
              </w:rPr>
              <w:t>SART (9 GHz)</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41E4B503" w14:textId="77777777" w:rsidR="00EA406B" w:rsidRDefault="00EA406B">
            <w:pPr>
              <w:pStyle w:val="NormalWeb"/>
              <w:spacing w:before="0" w:beforeAutospacing="0" w:after="0" w:afterAutospacing="0"/>
            </w:pPr>
            <w:r>
              <w:rPr>
                <w:color w:val="000000"/>
                <w:sz w:val="20"/>
                <w:szCs w:val="20"/>
              </w:rPr>
              <w:t>Radar transponder</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7E01047C" w14:textId="77777777" w:rsidR="00EA406B" w:rsidRDefault="00EA406B">
            <w:pPr>
              <w:pStyle w:val="NormalWeb"/>
              <w:spacing w:before="0" w:beforeAutospacing="0" w:after="0" w:afterAutospacing="0"/>
            </w:pPr>
            <w:r>
              <w:rPr>
                <w:color w:val="000000"/>
                <w:sz w:val="20"/>
                <w:szCs w:val="20"/>
              </w:rPr>
              <w:t>Up to 10 NM</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0816056E" w14:textId="77777777" w:rsidR="00EA406B" w:rsidRDefault="00EA406B">
            <w:pPr>
              <w:pStyle w:val="NormalWeb"/>
              <w:spacing w:before="0" w:beforeAutospacing="0" w:after="0" w:afterAutospacing="0"/>
            </w:pPr>
            <w:r>
              <w:rPr>
                <w:color w:val="000000"/>
                <w:sz w:val="20"/>
                <w:szCs w:val="20"/>
              </w:rPr>
              <w:t>X-band (9 GHz) radar</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4FDB1484" w14:textId="77777777" w:rsidR="00EA406B" w:rsidRDefault="00EA406B">
            <w:pPr>
              <w:pStyle w:val="NormalWeb"/>
              <w:spacing w:before="0" w:beforeAutospacing="0" w:after="0" w:afterAutospacing="0"/>
            </w:pPr>
            <w:r>
              <w:rPr>
                <w:color w:val="000000"/>
                <w:sz w:val="20"/>
                <w:szCs w:val="20"/>
              </w:rPr>
              <w:t>Manual / immersion</w:t>
            </w:r>
          </w:p>
        </w:tc>
      </w:tr>
      <w:tr w:rsidR="00EA406B" w14:paraId="3872CDFC" w14:textId="77777777">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2D616F83" w14:textId="77777777" w:rsidR="00EA406B" w:rsidRDefault="00EA406B">
            <w:pPr>
              <w:pStyle w:val="NormalWeb"/>
              <w:spacing w:before="0" w:beforeAutospacing="0" w:after="0" w:afterAutospacing="0"/>
            </w:pPr>
            <w:r>
              <w:rPr>
                <w:b/>
                <w:bCs/>
                <w:color w:val="000000"/>
                <w:sz w:val="20"/>
                <w:szCs w:val="20"/>
              </w:rPr>
              <w:t>AIS-SART</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0DFFB422" w14:textId="77777777" w:rsidR="00EA406B" w:rsidRDefault="00EA406B">
            <w:pPr>
              <w:pStyle w:val="NormalWeb"/>
              <w:spacing w:before="0" w:beforeAutospacing="0" w:after="0" w:afterAutospacing="0"/>
            </w:pPr>
            <w:r>
              <w:rPr>
                <w:color w:val="000000"/>
                <w:sz w:val="20"/>
                <w:szCs w:val="20"/>
              </w:rPr>
              <w:t>AIS VHF broadcast</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25AE3107" w14:textId="77777777" w:rsidR="00EA406B" w:rsidRDefault="00EA406B">
            <w:pPr>
              <w:pStyle w:val="NormalWeb"/>
              <w:spacing w:before="0" w:beforeAutospacing="0" w:after="0" w:afterAutospacing="0"/>
            </w:pPr>
            <w:r>
              <w:rPr>
                <w:color w:val="000000"/>
                <w:sz w:val="20"/>
                <w:szCs w:val="20"/>
              </w:rPr>
              <w:t>Up to 15 NM</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269BA79F" w14:textId="77777777" w:rsidR="00EA406B" w:rsidRDefault="00EA406B">
            <w:pPr>
              <w:pStyle w:val="NormalWeb"/>
              <w:spacing w:before="0" w:beforeAutospacing="0" w:after="0" w:afterAutospacing="0"/>
            </w:pPr>
            <w:r>
              <w:rPr>
                <w:color w:val="000000"/>
                <w:sz w:val="20"/>
                <w:szCs w:val="20"/>
              </w:rPr>
              <w:t>AIS receiver / ECDIS</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3C7A3C94" w14:textId="77777777" w:rsidR="00EA406B" w:rsidRDefault="00EA406B">
            <w:pPr>
              <w:pStyle w:val="NormalWeb"/>
              <w:spacing w:before="0" w:beforeAutospacing="0" w:after="0" w:afterAutospacing="0"/>
            </w:pPr>
            <w:r>
              <w:rPr>
                <w:color w:val="000000"/>
                <w:sz w:val="20"/>
                <w:szCs w:val="20"/>
              </w:rPr>
              <w:t>Manual / immersion</w:t>
            </w:r>
          </w:p>
        </w:tc>
      </w:tr>
      <w:tr w:rsidR="00EA406B" w14:paraId="5F6A56CC" w14:textId="77777777">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27551CAF" w14:textId="77777777" w:rsidR="00EA406B" w:rsidRDefault="00EA406B">
            <w:pPr>
              <w:pStyle w:val="NormalWeb"/>
              <w:spacing w:before="0" w:beforeAutospacing="0" w:after="0" w:afterAutospacing="0"/>
            </w:pPr>
            <w:r>
              <w:rPr>
                <w:b/>
                <w:bCs/>
                <w:color w:val="000000"/>
                <w:sz w:val="20"/>
                <w:szCs w:val="20"/>
              </w:rPr>
              <w:t>EPIRB (406 MHz)</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073A1AC7" w14:textId="77777777" w:rsidR="00EA406B" w:rsidRDefault="00EA406B">
            <w:pPr>
              <w:pStyle w:val="NormalWeb"/>
              <w:spacing w:before="0" w:beforeAutospacing="0" w:after="0" w:afterAutospacing="0"/>
            </w:pPr>
            <w:r>
              <w:rPr>
                <w:color w:val="000000"/>
                <w:sz w:val="20"/>
                <w:szCs w:val="20"/>
              </w:rPr>
              <w:t>COSPAS-SARSAT satellite</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5B21F66B" w14:textId="77777777" w:rsidR="00EA406B" w:rsidRDefault="00EA406B">
            <w:pPr>
              <w:pStyle w:val="NormalWeb"/>
              <w:spacing w:before="0" w:beforeAutospacing="0" w:after="0" w:afterAutospacing="0"/>
            </w:pPr>
            <w:r>
              <w:rPr>
                <w:color w:val="000000"/>
                <w:sz w:val="20"/>
                <w:szCs w:val="20"/>
              </w:rPr>
              <w:t>Global (via satellite)</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40F75491" w14:textId="77777777" w:rsidR="00EA406B" w:rsidRDefault="00EA406B">
            <w:pPr>
              <w:pStyle w:val="NormalWeb"/>
              <w:spacing w:before="0" w:beforeAutospacing="0" w:after="0" w:afterAutospacing="0"/>
            </w:pPr>
            <w:r>
              <w:rPr>
                <w:color w:val="000000"/>
                <w:sz w:val="20"/>
                <w:szCs w:val="20"/>
              </w:rPr>
              <w:t>MRCC via LUT network</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6B741584" w14:textId="77777777" w:rsidR="00EA406B" w:rsidRDefault="00EA406B">
            <w:pPr>
              <w:pStyle w:val="NormalWeb"/>
              <w:spacing w:before="0" w:beforeAutospacing="0" w:after="0" w:afterAutospacing="0"/>
            </w:pPr>
            <w:r>
              <w:rPr>
                <w:color w:val="000000"/>
                <w:sz w:val="20"/>
                <w:szCs w:val="20"/>
              </w:rPr>
              <w:t>Auto (hydrostatic)</w:t>
            </w:r>
          </w:p>
        </w:tc>
      </w:tr>
      <w:tr w:rsidR="00EA406B" w14:paraId="2993E763" w14:textId="77777777">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0D90B4E4" w14:textId="77777777" w:rsidR="00EA406B" w:rsidRDefault="00EA406B">
            <w:pPr>
              <w:pStyle w:val="NormalWeb"/>
              <w:spacing w:before="0" w:beforeAutospacing="0" w:after="0" w:afterAutospacing="0"/>
            </w:pPr>
            <w:r>
              <w:rPr>
                <w:b/>
                <w:bCs/>
                <w:color w:val="000000"/>
                <w:sz w:val="20"/>
                <w:szCs w:val="20"/>
              </w:rPr>
              <w:t>PLB (Personal Locator Beacon)</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03784E12" w14:textId="77777777" w:rsidR="00EA406B" w:rsidRDefault="00EA406B">
            <w:pPr>
              <w:pStyle w:val="NormalWeb"/>
              <w:spacing w:before="0" w:beforeAutospacing="0" w:after="0" w:afterAutospacing="0"/>
            </w:pPr>
            <w:r>
              <w:rPr>
                <w:color w:val="000000"/>
                <w:sz w:val="20"/>
                <w:szCs w:val="20"/>
              </w:rPr>
              <w:t>406 MHz + 121.5 MHz</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3957C7B4" w14:textId="77777777" w:rsidR="00EA406B" w:rsidRDefault="00EA406B">
            <w:pPr>
              <w:pStyle w:val="NormalWeb"/>
              <w:spacing w:before="0" w:beforeAutospacing="0" w:after="0" w:afterAutospacing="0"/>
            </w:pPr>
            <w:r>
              <w:rPr>
                <w:color w:val="000000"/>
                <w:sz w:val="20"/>
                <w:szCs w:val="20"/>
              </w:rPr>
              <w:t>Global (via satellite)</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779522F2" w14:textId="77777777" w:rsidR="00EA406B" w:rsidRDefault="00EA406B">
            <w:pPr>
              <w:pStyle w:val="NormalWeb"/>
              <w:spacing w:before="0" w:beforeAutospacing="0" w:after="0" w:afterAutospacing="0"/>
            </w:pPr>
            <w:r>
              <w:rPr>
                <w:color w:val="000000"/>
                <w:sz w:val="20"/>
                <w:szCs w:val="20"/>
              </w:rPr>
              <w:t>MRCC via COSPAS-SARSAT</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2F6AA6F6" w14:textId="77777777" w:rsidR="00EA406B" w:rsidRDefault="00EA406B">
            <w:pPr>
              <w:pStyle w:val="NormalWeb"/>
              <w:spacing w:before="0" w:beforeAutospacing="0" w:after="0" w:afterAutospacing="0"/>
            </w:pPr>
            <w:r>
              <w:rPr>
                <w:color w:val="000000"/>
                <w:sz w:val="20"/>
                <w:szCs w:val="20"/>
              </w:rPr>
              <w:t>Manual only</w:t>
            </w:r>
          </w:p>
        </w:tc>
      </w:tr>
    </w:tbl>
    <w:p w14:paraId="2A208766" w14:textId="77777777" w:rsidR="00EA406B" w:rsidRDefault="00EA406B">
      <w:pPr>
        <w:rPr>
          <w:rFonts w:eastAsia="Times New Roman"/>
        </w:rPr>
      </w:pPr>
    </w:p>
    <w:p w14:paraId="3CF72401" w14:textId="77777777" w:rsidR="00EA406B" w:rsidRDefault="00EA406B">
      <w:pPr>
        <w:pStyle w:val="Heading3"/>
        <w:spacing w:before="240" w:after="120"/>
        <w:rPr>
          <w:rFonts w:eastAsia="Times New Roman"/>
        </w:rPr>
      </w:pPr>
      <w:r>
        <w:rPr>
          <w:rFonts w:eastAsia="Times New Roman"/>
          <w:i/>
          <w:iCs/>
          <w:color w:val="2E74B5"/>
          <w:sz w:val="24"/>
          <w:szCs w:val="24"/>
        </w:rPr>
        <w:t>1.3.4 Component 4 — Maritime Safety Information (MSI)</w:t>
      </w:r>
    </w:p>
    <w:p w14:paraId="702D0CEF" w14:textId="77777777" w:rsidR="00EA406B" w:rsidRDefault="00EA406B">
      <w:pPr>
        <w:pStyle w:val="NormalWeb"/>
        <w:spacing w:before="0" w:beforeAutospacing="0" w:after="160" w:afterAutospacing="0"/>
        <w:ind w:firstLine="720"/>
        <w:jc w:val="both"/>
      </w:pPr>
      <w:r>
        <w:rPr>
          <w:color w:val="000000"/>
        </w:rPr>
        <w:t xml:space="preserve">Maritime Safety Information is the broadcast of navigational and meteorological warnings, forecasts, and urgent safety messages to all vessels at sea. This is the component of GMDSS most relevant to the daily routine of the </w:t>
      </w:r>
      <w:proofErr w:type="spellStart"/>
      <w:r>
        <w:rPr>
          <w:color w:val="000000"/>
        </w:rPr>
        <w:t>watchkeeping</w:t>
      </w:r>
      <w:proofErr w:type="spellEnd"/>
      <w:r>
        <w:rPr>
          <w:color w:val="000000"/>
        </w:rPr>
        <w:t xml:space="preserve"> officer, because MSI broadcasts are continuous — they provide a constant stream of information about changing navigational conditions, whether or not any emergency is taking place. MSI includes NAVAREA messages (ocean-wide navigational warnings), sub-area and coastal warnings, special warnings, weather forecasts, ice reports, and maritime security information such as piracy alerts (IMO, 2018).</w:t>
      </w:r>
    </w:p>
    <w:p w14:paraId="0B560D1C" w14:textId="77777777" w:rsidR="00EA406B" w:rsidRDefault="00EA406B">
      <w:pPr>
        <w:pStyle w:val="NormalWeb"/>
        <w:spacing w:before="0" w:beforeAutospacing="0" w:after="160" w:afterAutospacing="0"/>
        <w:ind w:firstLine="720"/>
        <w:jc w:val="both"/>
      </w:pPr>
      <w:r>
        <w:rPr>
          <w:color w:val="000000"/>
        </w:rPr>
        <w:t xml:space="preserve">NAVTEX is the primary MSI delivery technology for coastal waters within 400 nautical miles of a NAVTEX transmitter. Broadcasting on 518 kHz in English and 490 kHz in national languages, NAVTEX receivers are mandatory on all SOLAS ships in Sea Areas A1 and A2. Each NAVTEX message carries a header code identifying the transmitting station, the message category (navigational warning, meteorological warning, ice, search and rescue, etc.), and a message serial number. The receiver automatically filters out messages from stations outside the vessel's </w:t>
      </w:r>
      <w:r>
        <w:rPr>
          <w:color w:val="000000"/>
        </w:rPr>
        <w:lastRenderedPageBreak/>
        <w:t xml:space="preserve">designated NAVTEX area, and it suppresses messages already received, preventing duplication. For vessels in Sea Area A3 and A4, the INMARSAT </w:t>
      </w:r>
      <w:proofErr w:type="spellStart"/>
      <w:r>
        <w:rPr>
          <w:color w:val="000000"/>
        </w:rPr>
        <w:t>SafetyNET</w:t>
      </w:r>
      <w:proofErr w:type="spellEnd"/>
      <w:r>
        <w:rPr>
          <w:color w:val="000000"/>
        </w:rPr>
        <w:t xml:space="preserve"> service broadcasts MSI via satellite to all INMARSAT C terminals in the relevant ocean region, and HF NBDP (Narrow Band Direct Printing) broadcasts on internationally designated frequencies provide additional HF MSI coverage for ocean areas (</w:t>
      </w:r>
      <w:proofErr w:type="spellStart"/>
      <w:r>
        <w:rPr>
          <w:color w:val="000000"/>
        </w:rPr>
        <w:t>Nordström</w:t>
      </w:r>
      <w:proofErr w:type="spellEnd"/>
      <w:r>
        <w:rPr>
          <w:color w:val="000000"/>
        </w:rPr>
        <w:t xml:space="preserve"> &amp; </w:t>
      </w:r>
      <w:proofErr w:type="spellStart"/>
      <w:r>
        <w:rPr>
          <w:color w:val="000000"/>
        </w:rPr>
        <w:t>Götberg</w:t>
      </w:r>
      <w:proofErr w:type="spellEnd"/>
      <w:r>
        <w:rPr>
          <w:color w:val="000000"/>
        </w:rPr>
        <w:t>, 2020).</w:t>
      </w:r>
    </w:p>
    <w:p w14:paraId="7F41AE61" w14:textId="77777777" w:rsidR="00EA406B" w:rsidRDefault="00EA406B">
      <w:pPr>
        <w:pStyle w:val="NormalWeb"/>
        <w:spacing w:before="0" w:beforeAutospacing="0" w:after="160" w:afterAutospacing="0"/>
        <w:ind w:firstLine="720"/>
        <w:jc w:val="both"/>
      </w:pPr>
      <w:r>
        <w:rPr>
          <w:color w:val="000000"/>
        </w:rPr>
        <w:t>For vessels operating in the Gulf of Guinea, the MSI component of GMDSS carries critical piracy and maritime security information. The Maritime Trade Information Sharing Centre — Gulf of Guinea (MTISC-</w:t>
      </w:r>
      <w:proofErr w:type="spellStart"/>
      <w:r>
        <w:rPr>
          <w:color w:val="000000"/>
        </w:rPr>
        <w:t>GoG</w:t>
      </w:r>
      <w:proofErr w:type="spellEnd"/>
      <w:r>
        <w:rPr>
          <w:color w:val="000000"/>
        </w:rPr>
        <w:t xml:space="preserve">), established in 2016, provides real-time piracy incident reporting and vessel tracking services that are disseminated through MSI channels and through the NIMASA security communication network. A </w:t>
      </w:r>
      <w:proofErr w:type="spellStart"/>
      <w:r>
        <w:rPr>
          <w:color w:val="000000"/>
        </w:rPr>
        <w:t>watchkeeping</w:t>
      </w:r>
      <w:proofErr w:type="spellEnd"/>
      <w:r>
        <w:rPr>
          <w:color w:val="000000"/>
        </w:rPr>
        <w:t xml:space="preserve"> officer in Nigerian waters who diligently monitors the ship's NAVTEX and INMARSAT C </w:t>
      </w:r>
      <w:proofErr w:type="spellStart"/>
      <w:r>
        <w:rPr>
          <w:color w:val="000000"/>
        </w:rPr>
        <w:t>SafetyNET</w:t>
      </w:r>
      <w:proofErr w:type="spellEnd"/>
      <w:r>
        <w:rPr>
          <w:color w:val="000000"/>
        </w:rPr>
        <w:t xml:space="preserve"> messages is significantly better positioned to implement the Best Management Practices for Protection against Somalia-Based Piracy and Gulf of Guinea Piracy (BMP5) recommendations (NIMASA, 2022; Pereira &amp; Bernardino, 2021).</w:t>
      </w:r>
    </w:p>
    <w:p w14:paraId="0D6E1E42" w14:textId="77777777" w:rsidR="00063256" w:rsidRDefault="00063256">
      <w:pPr>
        <w:pStyle w:val="NormalWeb"/>
        <w:spacing w:before="240" w:beforeAutospacing="0" w:after="80" w:afterAutospacing="0"/>
        <w:jc w:val="center"/>
        <w:rPr>
          <w:b/>
          <w:bCs/>
          <w:smallCaps/>
          <w:color w:val="1F4E79"/>
          <w:sz w:val="30"/>
          <w:szCs w:val="30"/>
        </w:rPr>
      </w:pPr>
    </w:p>
    <w:p w14:paraId="6C3267C8" w14:textId="77777777" w:rsidR="004341C0" w:rsidRDefault="004341C0">
      <w:pPr>
        <w:pStyle w:val="NormalWeb"/>
        <w:spacing w:before="240" w:beforeAutospacing="0" w:after="80" w:afterAutospacing="0"/>
        <w:jc w:val="center"/>
        <w:rPr>
          <w:b/>
          <w:bCs/>
          <w:smallCaps/>
          <w:color w:val="1F4E79"/>
          <w:sz w:val="30"/>
          <w:szCs w:val="30"/>
        </w:rPr>
      </w:pPr>
    </w:p>
    <w:p w14:paraId="15CBBCD2" w14:textId="32EB7181" w:rsidR="00EA406B" w:rsidRDefault="00EA406B">
      <w:pPr>
        <w:pStyle w:val="NormalWeb"/>
        <w:spacing w:before="240" w:beforeAutospacing="0" w:after="80" w:afterAutospacing="0"/>
        <w:jc w:val="center"/>
      </w:pPr>
      <w:r>
        <w:rPr>
          <w:b/>
          <w:bCs/>
          <w:smallCaps/>
          <w:color w:val="1F4E79"/>
          <w:sz w:val="30"/>
          <w:szCs w:val="30"/>
        </w:rPr>
        <w:t>QUESTION 2</w:t>
      </w:r>
    </w:p>
    <w:p w14:paraId="44178840" w14:textId="77777777" w:rsidR="00EA406B" w:rsidRDefault="00EA406B">
      <w:pPr>
        <w:pStyle w:val="NormalWeb"/>
        <w:spacing w:before="0" w:beforeAutospacing="0" w:after="240" w:afterAutospacing="0"/>
        <w:jc w:val="center"/>
      </w:pPr>
      <w:r>
        <w:rPr>
          <w:b/>
          <w:bCs/>
          <w:color w:val="2E74B5"/>
          <w:sz w:val="26"/>
          <w:szCs w:val="26"/>
        </w:rPr>
        <w:t>A Vessel's Closest Point of Approach (CPA)</w:t>
      </w:r>
    </w:p>
    <w:p w14:paraId="136C49B7" w14:textId="77777777" w:rsidR="00EA406B" w:rsidRDefault="00EA406B">
      <w:pPr>
        <w:pStyle w:val="Heading1"/>
        <w:spacing w:before="400" w:after="200"/>
        <w:rPr>
          <w:rFonts w:eastAsia="Times New Roman"/>
        </w:rPr>
      </w:pPr>
      <w:r>
        <w:rPr>
          <w:rFonts w:eastAsia="Times New Roman"/>
          <w:color w:val="1F4E79"/>
          <w:sz w:val="28"/>
          <w:szCs w:val="28"/>
        </w:rPr>
        <w:t>2. Closest Point of Approach (CPA)</w:t>
      </w:r>
    </w:p>
    <w:p w14:paraId="3C549F0A" w14:textId="77777777" w:rsidR="00EA406B" w:rsidRDefault="00EA406B">
      <w:pPr>
        <w:pStyle w:val="Heading2"/>
        <w:spacing w:before="300" w:after="160"/>
        <w:rPr>
          <w:rFonts w:eastAsia="Times New Roman"/>
        </w:rPr>
      </w:pPr>
      <w:r>
        <w:rPr>
          <w:rFonts w:eastAsia="Times New Roman"/>
          <w:color w:val="2E74B5"/>
          <w:sz w:val="24"/>
          <w:szCs w:val="24"/>
        </w:rPr>
        <w:t>2.1 Definition and Navigational Significance</w:t>
      </w:r>
    </w:p>
    <w:p w14:paraId="156606E5" w14:textId="77777777" w:rsidR="00EA406B" w:rsidRDefault="00EA406B">
      <w:pPr>
        <w:pStyle w:val="NormalWeb"/>
        <w:spacing w:before="0" w:beforeAutospacing="0" w:after="160" w:afterAutospacing="0"/>
        <w:ind w:firstLine="720"/>
        <w:jc w:val="both"/>
      </w:pPr>
      <w:r>
        <w:rPr>
          <w:color w:val="000000"/>
        </w:rPr>
        <w:t xml:space="preserve">The Closest Point of Approach — universally abbreviated as CPA — is the minimum distance that will exist between two vessels if both continue on their present courses and speeds without any alteration. It is expressed in nautical miles and is always accompanied by the Time to Closest Point of Approach (TCPA), which is the time remaining until that minimum distance is reached. Together, CPA and TCPA form the fundamental quantitative assessment of collision risk that underpins the </w:t>
      </w:r>
      <w:proofErr w:type="spellStart"/>
      <w:r>
        <w:rPr>
          <w:color w:val="000000"/>
        </w:rPr>
        <w:t>watchkeeping</w:t>
      </w:r>
      <w:proofErr w:type="spellEnd"/>
      <w:r>
        <w:rPr>
          <w:color w:val="000000"/>
        </w:rPr>
        <w:t xml:space="preserve"> officer's decision-making under COLREG Rule 7 (Bole, Wall &amp; Norris, 2021).</w:t>
      </w:r>
    </w:p>
    <w:p w14:paraId="062344E1" w14:textId="77777777" w:rsidR="00EA406B" w:rsidRDefault="00EA406B">
      <w:pPr>
        <w:pStyle w:val="NormalWeb"/>
        <w:spacing w:before="0" w:beforeAutospacing="0" w:after="160" w:afterAutospacing="0"/>
        <w:ind w:firstLine="720"/>
        <w:jc w:val="both"/>
      </w:pPr>
      <w:r>
        <w:rPr>
          <w:color w:val="000000"/>
        </w:rPr>
        <w:t xml:space="preserve">A CPA of zero — meaning the relative motion line passes through </w:t>
      </w:r>
      <w:proofErr w:type="spellStart"/>
      <w:r>
        <w:rPr>
          <w:color w:val="000000"/>
        </w:rPr>
        <w:t>ownship's</w:t>
      </w:r>
      <w:proofErr w:type="spellEnd"/>
      <w:r>
        <w:rPr>
          <w:color w:val="000000"/>
        </w:rPr>
        <w:t xml:space="preserve"> position — represents a theoretical direct collision course. A CPA that is very small, say 0.1 nautical miles, is not a collision, but in most navigational contexts it represents an unacceptable risk, particularly in restricted visibility, heavy weather, or dense traffic. The 'safe' CPA varies with circumstances: in open ocean in clear visibility with plenty of sea room, a CPA of 1.0 to 2.0 nautical miles is commonly accepted as the minimum comfortable passing distance. In coastal waters, traffic separation schemes, or port approaches, the physical constraints of the navigational environment may mean that achieving even a 0.5 nautical mile CPA requires careful planning and timely action (Cockcroft &amp; </w:t>
      </w:r>
      <w:proofErr w:type="spellStart"/>
      <w:r>
        <w:rPr>
          <w:color w:val="000000"/>
        </w:rPr>
        <w:t>Lameijer</w:t>
      </w:r>
      <w:proofErr w:type="spellEnd"/>
      <w:r>
        <w:rPr>
          <w:color w:val="000000"/>
        </w:rPr>
        <w:t>, 2018).</w:t>
      </w:r>
    </w:p>
    <w:p w14:paraId="12161C5F" w14:textId="77777777" w:rsidR="00EA406B" w:rsidRDefault="00EA406B">
      <w:pPr>
        <w:pStyle w:val="Heading2"/>
        <w:spacing w:before="300" w:after="160"/>
        <w:rPr>
          <w:rFonts w:eastAsia="Times New Roman"/>
        </w:rPr>
      </w:pPr>
      <w:r>
        <w:rPr>
          <w:rFonts w:eastAsia="Times New Roman"/>
          <w:color w:val="2E74B5"/>
          <w:sz w:val="24"/>
          <w:szCs w:val="24"/>
        </w:rPr>
        <w:lastRenderedPageBreak/>
        <w:t>2.2 The Mathematics of CPA — Relative Motion Theory</w:t>
      </w:r>
    </w:p>
    <w:p w14:paraId="754B1790" w14:textId="77777777" w:rsidR="00EA406B" w:rsidRDefault="00EA406B">
      <w:pPr>
        <w:pStyle w:val="NormalWeb"/>
        <w:spacing w:before="0" w:beforeAutospacing="0" w:after="160" w:afterAutospacing="0"/>
        <w:ind w:firstLine="720"/>
        <w:jc w:val="both"/>
      </w:pPr>
      <w:r>
        <w:rPr>
          <w:color w:val="000000"/>
        </w:rPr>
        <w:t>The mathematical basis for CPA determination is the theory of relative motion. Consider two vessels — referred to as '</w:t>
      </w:r>
      <w:proofErr w:type="spellStart"/>
      <w:r>
        <w:rPr>
          <w:color w:val="000000"/>
        </w:rPr>
        <w:t>ownship</w:t>
      </w:r>
      <w:proofErr w:type="spellEnd"/>
      <w:r>
        <w:rPr>
          <w:color w:val="000000"/>
        </w:rPr>
        <w:t xml:space="preserve">' (O) and 'other ship' (A) — each moving with its own true velocity vector. </w:t>
      </w:r>
      <w:proofErr w:type="spellStart"/>
      <w:r>
        <w:rPr>
          <w:color w:val="000000"/>
        </w:rPr>
        <w:t>Ownship</w:t>
      </w:r>
      <w:proofErr w:type="spellEnd"/>
      <w:r>
        <w:rPr>
          <w:color w:val="000000"/>
        </w:rPr>
        <w:t xml:space="preserve"> has a true course Co and speed Vo. The other ship has true course Ca and speed Va. The relative velocity of the other ship with respect to </w:t>
      </w:r>
      <w:proofErr w:type="spellStart"/>
      <w:r>
        <w:rPr>
          <w:color w:val="000000"/>
        </w:rPr>
        <w:t>ownship</w:t>
      </w:r>
      <w:proofErr w:type="spellEnd"/>
      <w:r>
        <w:rPr>
          <w:color w:val="000000"/>
        </w:rPr>
        <w:t xml:space="preserve"> is the vector difference: </w:t>
      </w:r>
      <w:proofErr w:type="spellStart"/>
      <w:r>
        <w:rPr>
          <w:color w:val="000000"/>
        </w:rPr>
        <w:t>Vrel</w:t>
      </w:r>
      <w:proofErr w:type="spellEnd"/>
      <w:r>
        <w:rPr>
          <w:color w:val="000000"/>
        </w:rPr>
        <w:t xml:space="preserve"> = </w:t>
      </w:r>
      <w:proofErr w:type="spellStart"/>
      <w:r>
        <w:rPr>
          <w:color w:val="000000"/>
        </w:rPr>
        <w:t>Va</w:t>
      </w:r>
      <w:proofErr w:type="spellEnd"/>
      <w:r>
        <w:rPr>
          <w:color w:val="000000"/>
        </w:rPr>
        <w:t xml:space="preserve"> - Vo. This relative velocity vector describes the direction and speed at which the other ship appears to move across a plot </w:t>
      </w:r>
      <w:proofErr w:type="spellStart"/>
      <w:r>
        <w:rPr>
          <w:color w:val="000000"/>
        </w:rPr>
        <w:t>centred</w:t>
      </w:r>
      <w:proofErr w:type="spellEnd"/>
      <w:r>
        <w:rPr>
          <w:color w:val="000000"/>
        </w:rPr>
        <w:t xml:space="preserve"> on </w:t>
      </w:r>
      <w:proofErr w:type="spellStart"/>
      <w:r>
        <w:rPr>
          <w:color w:val="000000"/>
        </w:rPr>
        <w:t>ownship</w:t>
      </w:r>
      <w:proofErr w:type="spellEnd"/>
      <w:r>
        <w:rPr>
          <w:color w:val="000000"/>
        </w:rPr>
        <w:t>.</w:t>
      </w:r>
    </w:p>
    <w:p w14:paraId="5CD3F236" w14:textId="77777777" w:rsidR="00EA406B" w:rsidRDefault="00EA406B">
      <w:pPr>
        <w:pStyle w:val="NormalWeb"/>
        <w:spacing w:before="0" w:beforeAutospacing="0" w:after="160" w:afterAutospacing="0"/>
        <w:ind w:firstLine="720"/>
        <w:jc w:val="both"/>
      </w:pPr>
      <w:r>
        <w:rPr>
          <w:color w:val="000000"/>
        </w:rPr>
        <w:t>On a traditional radar reflection plotter, the navigator plots the position of the other ship at successive time intervals — say A1 at time T1 and A2 at time T1+6 minutes — and draws the Relative Motion Line (RML) through these positions. This line, extended in the direction of motion, shows the predicted future path of the other ship across the plot. The CPA is the perpendicular distance from the origin of the plot (</w:t>
      </w:r>
      <w:proofErr w:type="spellStart"/>
      <w:r>
        <w:rPr>
          <w:color w:val="000000"/>
        </w:rPr>
        <w:t>ownship's</w:t>
      </w:r>
      <w:proofErr w:type="spellEnd"/>
      <w:r>
        <w:rPr>
          <w:color w:val="000000"/>
        </w:rPr>
        <w:t xml:space="preserve"> position) to the RML extended. The TCPA is calculated by measuring the distance from the other ship's current position (A2) along the RML to the CPA point, and dividing by the relative speed (the length of the A1-A2 vector per unit time) (Bole, Wall &amp; Norris, 2021).</w:t>
      </w:r>
    </w:p>
    <w:p w14:paraId="49FFE80B" w14:textId="548B8CE3" w:rsidR="00EA406B" w:rsidRDefault="00EA406B">
      <w:pPr>
        <w:pStyle w:val="NormalWeb"/>
        <w:spacing w:before="80" w:beforeAutospacing="0" w:after="240" w:afterAutospacing="0"/>
        <w:jc w:val="center"/>
      </w:pPr>
    </w:p>
    <w:p w14:paraId="7975D372" w14:textId="77777777" w:rsidR="00EA406B" w:rsidRDefault="00EA406B">
      <w:pPr>
        <w:pStyle w:val="Heading2"/>
        <w:spacing w:before="300" w:after="160"/>
        <w:rPr>
          <w:rFonts w:eastAsia="Times New Roman"/>
        </w:rPr>
      </w:pPr>
      <w:r>
        <w:rPr>
          <w:rFonts w:eastAsia="Times New Roman"/>
          <w:color w:val="2E74B5"/>
          <w:sz w:val="24"/>
          <w:szCs w:val="24"/>
        </w:rPr>
        <w:t>2.3 ARPA and Automated CPA Computation</w:t>
      </w:r>
    </w:p>
    <w:p w14:paraId="383DBA5F" w14:textId="77777777" w:rsidR="00EA406B" w:rsidRDefault="00EA406B">
      <w:pPr>
        <w:pStyle w:val="NormalWeb"/>
        <w:spacing w:before="0" w:beforeAutospacing="0" w:after="160" w:afterAutospacing="0"/>
        <w:ind w:firstLine="720"/>
        <w:jc w:val="both"/>
      </w:pPr>
      <w:r>
        <w:rPr>
          <w:color w:val="000000"/>
        </w:rPr>
        <w:t>Modern Automatic Radar Plotting Aid (ARPA) systems perform the relative motion calculation continuously and automatically for all acquired and tracked targets, displaying the computed CPA and TCPA in alphanumeric form on the radar screen alongside each tracked target symbol. The ARPA also displays the target's true course and speed, its relative course and speed, and — in vector mode — a vector from the target's current position showing its predicted future path over a selectable time period. Guard zones can be set so that an audio and visual alarm is triggered automatically when any target's CPA falls below a preset value or when a target enters a predefined range or bearing zone (Bole, Wall &amp; Norris, 2021).</w:t>
      </w:r>
    </w:p>
    <w:p w14:paraId="33238F07" w14:textId="77777777" w:rsidR="00EA406B" w:rsidRDefault="00EA406B">
      <w:pPr>
        <w:pStyle w:val="NormalWeb"/>
        <w:spacing w:before="0" w:beforeAutospacing="0" w:after="160" w:afterAutospacing="0"/>
        <w:ind w:firstLine="720"/>
        <w:jc w:val="both"/>
      </w:pPr>
      <w:r>
        <w:rPr>
          <w:color w:val="000000"/>
        </w:rPr>
        <w:t xml:space="preserve">Despite the convenience and speed of ARPA, the IMO's performance standards for ARPA (IMO Resolution MSC.64(67) Annex 4) require that </w:t>
      </w:r>
      <w:proofErr w:type="spellStart"/>
      <w:r>
        <w:rPr>
          <w:color w:val="000000"/>
        </w:rPr>
        <w:t>watchkeeping</w:t>
      </w:r>
      <w:proofErr w:type="spellEnd"/>
      <w:r>
        <w:rPr>
          <w:color w:val="000000"/>
        </w:rPr>
        <w:t xml:space="preserve"> officers are able to verify CPA computations manually, because ARPA systems can malfunction, produce 'target swaps' (where the tracking algorithm confuses two nearby targets), or generate errors if the ship's heading or speed inputs are incorrect. The prudent navigator uses ARPA as a decision-support tool while maintaining the ability to plot manually when needed (Cockcroft &amp; </w:t>
      </w:r>
      <w:proofErr w:type="spellStart"/>
      <w:r>
        <w:rPr>
          <w:color w:val="000000"/>
        </w:rPr>
        <w:t>Lameijer</w:t>
      </w:r>
      <w:proofErr w:type="spellEnd"/>
      <w:r>
        <w:rPr>
          <w:color w:val="000000"/>
        </w:rPr>
        <w:t>, 2018).</w:t>
      </w:r>
    </w:p>
    <w:p w14:paraId="7632C214" w14:textId="77777777" w:rsidR="00EA406B" w:rsidRDefault="00EA406B">
      <w:pPr>
        <w:pStyle w:val="NormalWeb"/>
        <w:spacing w:before="200" w:beforeAutospacing="0" w:after="80" w:afterAutospacing="0"/>
        <w:jc w:val="center"/>
      </w:pPr>
      <w:r>
        <w:rPr>
          <w:b/>
          <w:bCs/>
          <w:color w:val="1F4E79"/>
          <w:sz w:val="20"/>
          <w:szCs w:val="20"/>
        </w:rPr>
        <w:t>Table 3: Interpretation of CPA and TCPA Values — Action Guidance for the OOW</w:t>
      </w:r>
    </w:p>
    <w:tbl>
      <w:tblPr>
        <w:tblW w:w="0" w:type="auto"/>
        <w:tblCellMar>
          <w:top w:w="15" w:type="dxa"/>
          <w:left w:w="15" w:type="dxa"/>
          <w:bottom w:w="15" w:type="dxa"/>
          <w:right w:w="15" w:type="dxa"/>
        </w:tblCellMar>
        <w:tblLook w:val="04A0" w:firstRow="1" w:lastRow="0" w:firstColumn="1" w:lastColumn="0" w:noHBand="0" w:noVBand="1"/>
      </w:tblPr>
      <w:tblGrid>
        <w:gridCol w:w="1644"/>
        <w:gridCol w:w="1064"/>
        <w:gridCol w:w="3193"/>
        <w:gridCol w:w="3443"/>
      </w:tblGrid>
      <w:tr w:rsidR="00EA406B" w14:paraId="53C03508" w14:textId="77777777">
        <w:tc>
          <w:tcPr>
            <w:tcW w:w="0" w:type="auto"/>
            <w:tcBorders>
              <w:top w:val="single" w:sz="6" w:space="0" w:color="2E74B5"/>
              <w:left w:val="single" w:sz="6" w:space="0" w:color="2E74B5"/>
              <w:bottom w:val="single" w:sz="6" w:space="0" w:color="2E74B5"/>
              <w:right w:val="single" w:sz="6" w:space="0" w:color="2E74B5"/>
            </w:tcBorders>
            <w:shd w:val="clear" w:color="auto" w:fill="1F4E79"/>
            <w:tcMar>
              <w:top w:w="80" w:type="dxa"/>
              <w:left w:w="120" w:type="dxa"/>
              <w:bottom w:w="80" w:type="dxa"/>
              <w:right w:w="120" w:type="dxa"/>
            </w:tcMar>
            <w:vAlign w:val="center"/>
            <w:hideMark/>
          </w:tcPr>
          <w:p w14:paraId="144C5E7F" w14:textId="77777777" w:rsidR="00EA406B" w:rsidRDefault="00EA406B">
            <w:pPr>
              <w:pStyle w:val="NormalWeb"/>
              <w:spacing w:before="0" w:beforeAutospacing="0" w:after="0" w:afterAutospacing="0"/>
              <w:jc w:val="center"/>
            </w:pPr>
            <w:r>
              <w:rPr>
                <w:b/>
                <w:bCs/>
                <w:color w:val="FFFFFF"/>
                <w:sz w:val="20"/>
                <w:szCs w:val="20"/>
              </w:rPr>
              <w:t>CPA (NM)</w:t>
            </w:r>
          </w:p>
        </w:tc>
        <w:tc>
          <w:tcPr>
            <w:tcW w:w="0" w:type="auto"/>
            <w:tcBorders>
              <w:top w:val="single" w:sz="6" w:space="0" w:color="2E74B5"/>
              <w:left w:val="single" w:sz="6" w:space="0" w:color="2E74B5"/>
              <w:bottom w:val="single" w:sz="6" w:space="0" w:color="2E74B5"/>
              <w:right w:val="single" w:sz="6" w:space="0" w:color="2E74B5"/>
            </w:tcBorders>
            <w:shd w:val="clear" w:color="auto" w:fill="1F4E79"/>
            <w:tcMar>
              <w:top w:w="80" w:type="dxa"/>
              <w:left w:w="120" w:type="dxa"/>
              <w:bottom w:w="80" w:type="dxa"/>
              <w:right w:w="120" w:type="dxa"/>
            </w:tcMar>
            <w:vAlign w:val="center"/>
            <w:hideMark/>
          </w:tcPr>
          <w:p w14:paraId="50D1F0E6" w14:textId="77777777" w:rsidR="00EA406B" w:rsidRDefault="00EA406B">
            <w:pPr>
              <w:pStyle w:val="NormalWeb"/>
              <w:spacing w:before="0" w:beforeAutospacing="0" w:after="0" w:afterAutospacing="0"/>
              <w:jc w:val="center"/>
            </w:pPr>
            <w:r>
              <w:rPr>
                <w:b/>
                <w:bCs/>
                <w:color w:val="FFFFFF"/>
                <w:sz w:val="20"/>
                <w:szCs w:val="20"/>
              </w:rPr>
              <w:t>TCPA (</w:t>
            </w:r>
            <w:proofErr w:type="spellStart"/>
            <w:r>
              <w:rPr>
                <w:b/>
                <w:bCs/>
                <w:color w:val="FFFFFF"/>
                <w:sz w:val="20"/>
                <w:szCs w:val="20"/>
              </w:rPr>
              <w:t>mins</w:t>
            </w:r>
            <w:proofErr w:type="spellEnd"/>
            <w:r>
              <w:rPr>
                <w:b/>
                <w:bCs/>
                <w:color w:val="FFFFFF"/>
                <w:sz w:val="20"/>
                <w:szCs w:val="20"/>
              </w:rPr>
              <w:t>)</w:t>
            </w:r>
          </w:p>
        </w:tc>
        <w:tc>
          <w:tcPr>
            <w:tcW w:w="0" w:type="auto"/>
            <w:tcBorders>
              <w:top w:val="single" w:sz="6" w:space="0" w:color="2E74B5"/>
              <w:left w:val="single" w:sz="6" w:space="0" w:color="2E74B5"/>
              <w:bottom w:val="single" w:sz="6" w:space="0" w:color="2E74B5"/>
              <w:right w:val="single" w:sz="6" w:space="0" w:color="2E74B5"/>
            </w:tcBorders>
            <w:shd w:val="clear" w:color="auto" w:fill="1F4E79"/>
            <w:tcMar>
              <w:top w:w="80" w:type="dxa"/>
              <w:left w:w="120" w:type="dxa"/>
              <w:bottom w:w="80" w:type="dxa"/>
              <w:right w:w="120" w:type="dxa"/>
            </w:tcMar>
            <w:vAlign w:val="center"/>
            <w:hideMark/>
          </w:tcPr>
          <w:p w14:paraId="21137B54" w14:textId="77777777" w:rsidR="00EA406B" w:rsidRDefault="00EA406B">
            <w:pPr>
              <w:pStyle w:val="NormalWeb"/>
              <w:spacing w:before="0" w:beforeAutospacing="0" w:after="0" w:afterAutospacing="0"/>
              <w:jc w:val="center"/>
            </w:pPr>
            <w:r>
              <w:rPr>
                <w:b/>
                <w:bCs/>
                <w:color w:val="FFFFFF"/>
                <w:sz w:val="20"/>
                <w:szCs w:val="20"/>
              </w:rPr>
              <w:t>Risk Assessment</w:t>
            </w:r>
          </w:p>
        </w:tc>
        <w:tc>
          <w:tcPr>
            <w:tcW w:w="0" w:type="auto"/>
            <w:tcBorders>
              <w:top w:val="single" w:sz="6" w:space="0" w:color="2E74B5"/>
              <w:left w:val="single" w:sz="6" w:space="0" w:color="2E74B5"/>
              <w:bottom w:val="single" w:sz="6" w:space="0" w:color="2E74B5"/>
              <w:right w:val="single" w:sz="6" w:space="0" w:color="2E74B5"/>
            </w:tcBorders>
            <w:shd w:val="clear" w:color="auto" w:fill="1F4E79"/>
            <w:tcMar>
              <w:top w:w="80" w:type="dxa"/>
              <w:left w:w="120" w:type="dxa"/>
              <w:bottom w:w="80" w:type="dxa"/>
              <w:right w:w="120" w:type="dxa"/>
            </w:tcMar>
            <w:vAlign w:val="center"/>
            <w:hideMark/>
          </w:tcPr>
          <w:p w14:paraId="036EFBD8" w14:textId="77777777" w:rsidR="00EA406B" w:rsidRDefault="00EA406B">
            <w:pPr>
              <w:pStyle w:val="NormalWeb"/>
              <w:spacing w:before="0" w:beforeAutospacing="0" w:after="0" w:afterAutospacing="0"/>
              <w:jc w:val="center"/>
            </w:pPr>
            <w:r>
              <w:rPr>
                <w:b/>
                <w:bCs/>
                <w:color w:val="FFFFFF"/>
                <w:sz w:val="20"/>
                <w:szCs w:val="20"/>
              </w:rPr>
              <w:t>Recommended Action</w:t>
            </w:r>
          </w:p>
        </w:tc>
      </w:tr>
      <w:tr w:rsidR="00EA406B" w14:paraId="35023EEC" w14:textId="77777777">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0FBF4A27" w14:textId="77777777" w:rsidR="00EA406B" w:rsidRDefault="00EA406B">
            <w:pPr>
              <w:pStyle w:val="NormalWeb"/>
              <w:spacing w:before="0" w:beforeAutospacing="0" w:after="0" w:afterAutospacing="0"/>
              <w:jc w:val="center"/>
            </w:pPr>
            <w:r>
              <w:rPr>
                <w:b/>
                <w:bCs/>
                <w:color w:val="000000"/>
                <w:sz w:val="20"/>
                <w:szCs w:val="20"/>
              </w:rPr>
              <w:t>&gt; 2.0 NM</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388C7044" w14:textId="77777777" w:rsidR="00EA406B" w:rsidRDefault="00EA406B">
            <w:pPr>
              <w:pStyle w:val="NormalWeb"/>
              <w:spacing w:before="0" w:beforeAutospacing="0" w:after="0" w:afterAutospacing="0"/>
              <w:jc w:val="center"/>
            </w:pPr>
            <w:r>
              <w:rPr>
                <w:color w:val="000000"/>
                <w:sz w:val="20"/>
                <w:szCs w:val="20"/>
              </w:rPr>
              <w:t>Any</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7EBBC015" w14:textId="77777777" w:rsidR="00EA406B" w:rsidRDefault="00EA406B">
            <w:pPr>
              <w:pStyle w:val="NormalWeb"/>
              <w:spacing w:before="0" w:beforeAutospacing="0" w:after="0" w:afterAutospacing="0"/>
            </w:pPr>
            <w:r>
              <w:rPr>
                <w:color w:val="000000"/>
                <w:sz w:val="20"/>
                <w:szCs w:val="20"/>
              </w:rPr>
              <w:t>Low risk in open waters. Continue monitoring.</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03C4EE9A" w14:textId="77777777" w:rsidR="00EA406B" w:rsidRDefault="00EA406B">
            <w:pPr>
              <w:pStyle w:val="NormalWeb"/>
              <w:spacing w:before="0" w:beforeAutospacing="0" w:after="0" w:afterAutospacing="0"/>
            </w:pPr>
            <w:r>
              <w:rPr>
                <w:color w:val="000000"/>
                <w:sz w:val="20"/>
                <w:szCs w:val="20"/>
              </w:rPr>
              <w:t>Maintain watch; log target. No immediate action.</w:t>
            </w:r>
          </w:p>
        </w:tc>
      </w:tr>
      <w:tr w:rsidR="00EA406B" w14:paraId="68EF5C1E" w14:textId="77777777">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3234A752" w14:textId="77777777" w:rsidR="00EA406B" w:rsidRDefault="00EA406B">
            <w:pPr>
              <w:pStyle w:val="NormalWeb"/>
              <w:spacing w:before="0" w:beforeAutospacing="0" w:after="0" w:afterAutospacing="0"/>
              <w:jc w:val="center"/>
            </w:pPr>
            <w:r>
              <w:rPr>
                <w:b/>
                <w:bCs/>
                <w:color w:val="000000"/>
                <w:sz w:val="20"/>
                <w:szCs w:val="20"/>
              </w:rPr>
              <w:t>1.0 – 2.0 NM</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2903C87C" w14:textId="77777777" w:rsidR="00EA406B" w:rsidRDefault="00EA406B">
            <w:pPr>
              <w:pStyle w:val="NormalWeb"/>
              <w:spacing w:before="0" w:beforeAutospacing="0" w:after="0" w:afterAutospacing="0"/>
              <w:jc w:val="center"/>
            </w:pPr>
            <w:r>
              <w:rPr>
                <w:color w:val="000000"/>
                <w:sz w:val="20"/>
                <w:szCs w:val="20"/>
              </w:rPr>
              <w:t xml:space="preserve">&gt; 15 </w:t>
            </w:r>
            <w:proofErr w:type="spellStart"/>
            <w:r>
              <w:rPr>
                <w:color w:val="000000"/>
                <w:sz w:val="20"/>
                <w:szCs w:val="20"/>
              </w:rPr>
              <w:t>mins</w:t>
            </w:r>
            <w:proofErr w:type="spellEnd"/>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112F12C5" w14:textId="77777777" w:rsidR="00EA406B" w:rsidRDefault="00EA406B">
            <w:pPr>
              <w:pStyle w:val="NormalWeb"/>
              <w:spacing w:before="0" w:beforeAutospacing="0" w:after="0" w:afterAutospacing="0"/>
            </w:pPr>
            <w:r>
              <w:rPr>
                <w:color w:val="000000"/>
                <w:sz w:val="20"/>
                <w:szCs w:val="20"/>
              </w:rPr>
              <w:t>Marginal — assess visibility and traffic density.</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55EFBB40" w14:textId="77777777" w:rsidR="00EA406B" w:rsidRDefault="00EA406B">
            <w:pPr>
              <w:pStyle w:val="NormalWeb"/>
              <w:spacing w:before="0" w:beforeAutospacing="0" w:after="0" w:afterAutospacing="0"/>
            </w:pPr>
            <w:r>
              <w:rPr>
                <w:color w:val="000000"/>
                <w:sz w:val="20"/>
                <w:szCs w:val="20"/>
              </w:rPr>
              <w:t>Intensify watch; consider early action if doubt exists.</w:t>
            </w:r>
          </w:p>
        </w:tc>
      </w:tr>
      <w:tr w:rsidR="00EA406B" w14:paraId="76FEF441" w14:textId="77777777">
        <w:tc>
          <w:tcPr>
            <w:tcW w:w="0" w:type="auto"/>
            <w:tcBorders>
              <w:top w:val="single" w:sz="6" w:space="0" w:color="2E74B5"/>
              <w:left w:val="single" w:sz="6" w:space="0" w:color="2E74B5"/>
              <w:bottom w:val="single" w:sz="6" w:space="0" w:color="2E74B5"/>
              <w:right w:val="single" w:sz="6" w:space="0" w:color="2E74B5"/>
            </w:tcBorders>
            <w:shd w:val="clear" w:color="auto" w:fill="FFE4B5"/>
            <w:tcMar>
              <w:top w:w="80" w:type="dxa"/>
              <w:left w:w="120" w:type="dxa"/>
              <w:bottom w:w="80" w:type="dxa"/>
              <w:right w:w="120" w:type="dxa"/>
            </w:tcMar>
            <w:hideMark/>
          </w:tcPr>
          <w:p w14:paraId="41ADCAE2" w14:textId="77777777" w:rsidR="00EA406B" w:rsidRDefault="00EA406B">
            <w:pPr>
              <w:pStyle w:val="NormalWeb"/>
              <w:spacing w:before="0" w:beforeAutospacing="0" w:after="0" w:afterAutospacing="0"/>
              <w:jc w:val="center"/>
            </w:pPr>
            <w:r>
              <w:rPr>
                <w:b/>
                <w:bCs/>
                <w:color w:val="000000"/>
                <w:sz w:val="20"/>
                <w:szCs w:val="20"/>
              </w:rPr>
              <w:t>0.5 – 1.0 NM</w:t>
            </w:r>
          </w:p>
        </w:tc>
        <w:tc>
          <w:tcPr>
            <w:tcW w:w="0" w:type="auto"/>
            <w:tcBorders>
              <w:top w:val="single" w:sz="6" w:space="0" w:color="2E74B5"/>
              <w:left w:val="single" w:sz="6" w:space="0" w:color="2E74B5"/>
              <w:bottom w:val="single" w:sz="6" w:space="0" w:color="2E74B5"/>
              <w:right w:val="single" w:sz="6" w:space="0" w:color="2E74B5"/>
            </w:tcBorders>
            <w:shd w:val="clear" w:color="auto" w:fill="FFE4B5"/>
            <w:tcMar>
              <w:top w:w="80" w:type="dxa"/>
              <w:left w:w="120" w:type="dxa"/>
              <w:bottom w:w="80" w:type="dxa"/>
              <w:right w:w="120" w:type="dxa"/>
            </w:tcMar>
            <w:hideMark/>
          </w:tcPr>
          <w:p w14:paraId="434D0DBA" w14:textId="77777777" w:rsidR="00EA406B" w:rsidRDefault="00EA406B">
            <w:pPr>
              <w:pStyle w:val="NormalWeb"/>
              <w:spacing w:before="0" w:beforeAutospacing="0" w:after="0" w:afterAutospacing="0"/>
              <w:jc w:val="center"/>
            </w:pPr>
            <w:r>
              <w:rPr>
                <w:color w:val="000000"/>
                <w:sz w:val="20"/>
                <w:szCs w:val="20"/>
              </w:rPr>
              <w:t xml:space="preserve">10 – 15 </w:t>
            </w:r>
            <w:proofErr w:type="spellStart"/>
            <w:r>
              <w:rPr>
                <w:color w:val="000000"/>
                <w:sz w:val="20"/>
                <w:szCs w:val="20"/>
              </w:rPr>
              <w:t>mins</w:t>
            </w:r>
            <w:proofErr w:type="spellEnd"/>
          </w:p>
        </w:tc>
        <w:tc>
          <w:tcPr>
            <w:tcW w:w="0" w:type="auto"/>
            <w:tcBorders>
              <w:top w:val="single" w:sz="6" w:space="0" w:color="2E74B5"/>
              <w:left w:val="single" w:sz="6" w:space="0" w:color="2E74B5"/>
              <w:bottom w:val="single" w:sz="6" w:space="0" w:color="2E74B5"/>
              <w:right w:val="single" w:sz="6" w:space="0" w:color="2E74B5"/>
            </w:tcBorders>
            <w:shd w:val="clear" w:color="auto" w:fill="FFE4B5"/>
            <w:tcMar>
              <w:top w:w="80" w:type="dxa"/>
              <w:left w:w="120" w:type="dxa"/>
              <w:bottom w:w="80" w:type="dxa"/>
              <w:right w:w="120" w:type="dxa"/>
            </w:tcMar>
            <w:hideMark/>
          </w:tcPr>
          <w:p w14:paraId="7E14794D" w14:textId="77777777" w:rsidR="00EA406B" w:rsidRDefault="00EA406B">
            <w:pPr>
              <w:pStyle w:val="NormalWeb"/>
              <w:spacing w:before="0" w:beforeAutospacing="0" w:after="0" w:afterAutospacing="0"/>
            </w:pPr>
            <w:r>
              <w:rPr>
                <w:color w:val="000000"/>
                <w:sz w:val="20"/>
                <w:szCs w:val="20"/>
              </w:rPr>
              <w:t>Risk of collision exists under Rule 7 — doubt principle applies.</w:t>
            </w:r>
          </w:p>
        </w:tc>
        <w:tc>
          <w:tcPr>
            <w:tcW w:w="0" w:type="auto"/>
            <w:tcBorders>
              <w:top w:val="single" w:sz="6" w:space="0" w:color="2E74B5"/>
              <w:left w:val="single" w:sz="6" w:space="0" w:color="2E74B5"/>
              <w:bottom w:val="single" w:sz="6" w:space="0" w:color="2E74B5"/>
              <w:right w:val="single" w:sz="6" w:space="0" w:color="2E74B5"/>
            </w:tcBorders>
            <w:shd w:val="clear" w:color="auto" w:fill="FFE4B5"/>
            <w:tcMar>
              <w:top w:w="80" w:type="dxa"/>
              <w:left w:w="120" w:type="dxa"/>
              <w:bottom w:w="80" w:type="dxa"/>
              <w:right w:w="120" w:type="dxa"/>
            </w:tcMar>
            <w:hideMark/>
          </w:tcPr>
          <w:p w14:paraId="727E6BEA" w14:textId="77777777" w:rsidR="00EA406B" w:rsidRDefault="00EA406B">
            <w:pPr>
              <w:pStyle w:val="NormalWeb"/>
              <w:spacing w:before="0" w:beforeAutospacing="0" w:after="0" w:afterAutospacing="0"/>
            </w:pPr>
            <w:r>
              <w:rPr>
                <w:color w:val="000000"/>
                <w:sz w:val="20"/>
                <w:szCs w:val="20"/>
              </w:rPr>
              <w:t>Take substantial action under Rule 8; inform master.</w:t>
            </w:r>
          </w:p>
        </w:tc>
      </w:tr>
      <w:tr w:rsidR="00EA406B" w14:paraId="09FB4398" w14:textId="77777777">
        <w:tc>
          <w:tcPr>
            <w:tcW w:w="0" w:type="auto"/>
            <w:tcBorders>
              <w:top w:val="single" w:sz="6" w:space="0" w:color="2E74B5"/>
              <w:left w:val="single" w:sz="6" w:space="0" w:color="2E74B5"/>
              <w:bottom w:val="single" w:sz="6" w:space="0" w:color="2E74B5"/>
              <w:right w:val="single" w:sz="6" w:space="0" w:color="2E74B5"/>
            </w:tcBorders>
            <w:shd w:val="clear" w:color="auto" w:fill="FFCCCC"/>
            <w:tcMar>
              <w:top w:w="80" w:type="dxa"/>
              <w:left w:w="120" w:type="dxa"/>
              <w:bottom w:w="80" w:type="dxa"/>
              <w:right w:w="120" w:type="dxa"/>
            </w:tcMar>
            <w:hideMark/>
          </w:tcPr>
          <w:p w14:paraId="2DED5262" w14:textId="77777777" w:rsidR="00EA406B" w:rsidRDefault="00EA406B">
            <w:pPr>
              <w:pStyle w:val="NormalWeb"/>
              <w:spacing w:before="0" w:beforeAutospacing="0" w:after="0" w:afterAutospacing="0"/>
              <w:jc w:val="center"/>
            </w:pPr>
            <w:r>
              <w:rPr>
                <w:b/>
                <w:bCs/>
                <w:color w:val="000000"/>
                <w:sz w:val="20"/>
                <w:szCs w:val="20"/>
              </w:rPr>
              <w:lastRenderedPageBreak/>
              <w:t>&lt; 0.5 NM</w:t>
            </w:r>
          </w:p>
        </w:tc>
        <w:tc>
          <w:tcPr>
            <w:tcW w:w="0" w:type="auto"/>
            <w:tcBorders>
              <w:top w:val="single" w:sz="6" w:space="0" w:color="2E74B5"/>
              <w:left w:val="single" w:sz="6" w:space="0" w:color="2E74B5"/>
              <w:bottom w:val="single" w:sz="6" w:space="0" w:color="2E74B5"/>
              <w:right w:val="single" w:sz="6" w:space="0" w:color="2E74B5"/>
            </w:tcBorders>
            <w:shd w:val="clear" w:color="auto" w:fill="FFCCCC"/>
            <w:tcMar>
              <w:top w:w="80" w:type="dxa"/>
              <w:left w:w="120" w:type="dxa"/>
              <w:bottom w:w="80" w:type="dxa"/>
              <w:right w:w="120" w:type="dxa"/>
            </w:tcMar>
            <w:hideMark/>
          </w:tcPr>
          <w:p w14:paraId="047E3B51" w14:textId="77777777" w:rsidR="00EA406B" w:rsidRDefault="00EA406B">
            <w:pPr>
              <w:pStyle w:val="NormalWeb"/>
              <w:spacing w:before="0" w:beforeAutospacing="0" w:after="0" w:afterAutospacing="0"/>
              <w:jc w:val="center"/>
            </w:pPr>
            <w:r>
              <w:rPr>
                <w:color w:val="000000"/>
                <w:sz w:val="20"/>
                <w:szCs w:val="20"/>
              </w:rPr>
              <w:t xml:space="preserve">&lt; 10 </w:t>
            </w:r>
            <w:proofErr w:type="spellStart"/>
            <w:r>
              <w:rPr>
                <w:color w:val="000000"/>
                <w:sz w:val="20"/>
                <w:szCs w:val="20"/>
              </w:rPr>
              <w:t>mins</w:t>
            </w:r>
            <w:proofErr w:type="spellEnd"/>
          </w:p>
        </w:tc>
        <w:tc>
          <w:tcPr>
            <w:tcW w:w="0" w:type="auto"/>
            <w:tcBorders>
              <w:top w:val="single" w:sz="6" w:space="0" w:color="2E74B5"/>
              <w:left w:val="single" w:sz="6" w:space="0" w:color="2E74B5"/>
              <w:bottom w:val="single" w:sz="6" w:space="0" w:color="2E74B5"/>
              <w:right w:val="single" w:sz="6" w:space="0" w:color="2E74B5"/>
            </w:tcBorders>
            <w:shd w:val="clear" w:color="auto" w:fill="FFCCCC"/>
            <w:tcMar>
              <w:top w:w="80" w:type="dxa"/>
              <w:left w:w="120" w:type="dxa"/>
              <w:bottom w:w="80" w:type="dxa"/>
              <w:right w:w="120" w:type="dxa"/>
            </w:tcMar>
            <w:hideMark/>
          </w:tcPr>
          <w:p w14:paraId="79B6515D" w14:textId="77777777" w:rsidR="00EA406B" w:rsidRDefault="00EA406B">
            <w:pPr>
              <w:pStyle w:val="NormalWeb"/>
              <w:spacing w:before="0" w:beforeAutospacing="0" w:after="0" w:afterAutospacing="0"/>
            </w:pPr>
            <w:r>
              <w:rPr>
                <w:color w:val="000000"/>
                <w:sz w:val="20"/>
                <w:szCs w:val="20"/>
              </w:rPr>
              <w:t>High risk — close quarters situation developing.</w:t>
            </w:r>
          </w:p>
        </w:tc>
        <w:tc>
          <w:tcPr>
            <w:tcW w:w="0" w:type="auto"/>
            <w:tcBorders>
              <w:top w:val="single" w:sz="6" w:space="0" w:color="2E74B5"/>
              <w:left w:val="single" w:sz="6" w:space="0" w:color="2E74B5"/>
              <w:bottom w:val="single" w:sz="6" w:space="0" w:color="2E74B5"/>
              <w:right w:val="single" w:sz="6" w:space="0" w:color="2E74B5"/>
            </w:tcBorders>
            <w:shd w:val="clear" w:color="auto" w:fill="FFCCCC"/>
            <w:tcMar>
              <w:top w:w="80" w:type="dxa"/>
              <w:left w:w="120" w:type="dxa"/>
              <w:bottom w:w="80" w:type="dxa"/>
              <w:right w:w="120" w:type="dxa"/>
            </w:tcMar>
            <w:hideMark/>
          </w:tcPr>
          <w:p w14:paraId="625C4CCD" w14:textId="77777777" w:rsidR="00EA406B" w:rsidRDefault="00EA406B">
            <w:pPr>
              <w:pStyle w:val="NormalWeb"/>
              <w:spacing w:before="0" w:beforeAutospacing="0" w:after="0" w:afterAutospacing="0"/>
            </w:pPr>
            <w:r>
              <w:rPr>
                <w:color w:val="000000"/>
                <w:sz w:val="20"/>
                <w:szCs w:val="20"/>
              </w:rPr>
              <w:t>Drastic action if necessary; sound whistle signals; master to bridge.</w:t>
            </w:r>
          </w:p>
        </w:tc>
      </w:tr>
      <w:tr w:rsidR="00EA406B" w14:paraId="2CBACE7F" w14:textId="77777777">
        <w:tc>
          <w:tcPr>
            <w:tcW w:w="0" w:type="auto"/>
            <w:tcBorders>
              <w:top w:val="single" w:sz="6" w:space="0" w:color="2E74B5"/>
              <w:left w:val="single" w:sz="6" w:space="0" w:color="2E74B5"/>
              <w:bottom w:val="single" w:sz="6" w:space="0" w:color="2E74B5"/>
              <w:right w:val="single" w:sz="6" w:space="0" w:color="2E74B5"/>
            </w:tcBorders>
            <w:shd w:val="clear" w:color="auto" w:fill="FF9999"/>
            <w:tcMar>
              <w:top w:w="80" w:type="dxa"/>
              <w:left w:w="120" w:type="dxa"/>
              <w:bottom w:w="80" w:type="dxa"/>
              <w:right w:w="120" w:type="dxa"/>
            </w:tcMar>
            <w:hideMark/>
          </w:tcPr>
          <w:p w14:paraId="075CE002" w14:textId="77777777" w:rsidR="00EA406B" w:rsidRDefault="00EA406B">
            <w:pPr>
              <w:pStyle w:val="NormalWeb"/>
              <w:spacing w:before="0" w:beforeAutospacing="0" w:after="0" w:afterAutospacing="0"/>
              <w:jc w:val="center"/>
            </w:pPr>
            <w:r>
              <w:rPr>
                <w:b/>
                <w:bCs/>
                <w:color w:val="000000"/>
                <w:sz w:val="20"/>
                <w:szCs w:val="20"/>
              </w:rPr>
              <w:t>0.0 NM (collision course)</w:t>
            </w:r>
          </w:p>
        </w:tc>
        <w:tc>
          <w:tcPr>
            <w:tcW w:w="0" w:type="auto"/>
            <w:tcBorders>
              <w:top w:val="single" w:sz="6" w:space="0" w:color="2E74B5"/>
              <w:left w:val="single" w:sz="6" w:space="0" w:color="2E74B5"/>
              <w:bottom w:val="single" w:sz="6" w:space="0" w:color="2E74B5"/>
              <w:right w:val="single" w:sz="6" w:space="0" w:color="2E74B5"/>
            </w:tcBorders>
            <w:shd w:val="clear" w:color="auto" w:fill="FF9999"/>
            <w:tcMar>
              <w:top w:w="80" w:type="dxa"/>
              <w:left w:w="120" w:type="dxa"/>
              <w:bottom w:w="80" w:type="dxa"/>
              <w:right w:w="120" w:type="dxa"/>
            </w:tcMar>
            <w:hideMark/>
          </w:tcPr>
          <w:p w14:paraId="110A72A3" w14:textId="77777777" w:rsidR="00EA406B" w:rsidRDefault="00EA406B">
            <w:pPr>
              <w:pStyle w:val="NormalWeb"/>
              <w:spacing w:before="0" w:beforeAutospacing="0" w:after="0" w:afterAutospacing="0"/>
              <w:jc w:val="center"/>
            </w:pPr>
            <w:r>
              <w:rPr>
                <w:color w:val="000000"/>
                <w:sz w:val="20"/>
                <w:szCs w:val="20"/>
              </w:rPr>
              <w:t>Any</w:t>
            </w:r>
          </w:p>
        </w:tc>
        <w:tc>
          <w:tcPr>
            <w:tcW w:w="0" w:type="auto"/>
            <w:tcBorders>
              <w:top w:val="single" w:sz="6" w:space="0" w:color="2E74B5"/>
              <w:left w:val="single" w:sz="6" w:space="0" w:color="2E74B5"/>
              <w:bottom w:val="single" w:sz="6" w:space="0" w:color="2E74B5"/>
              <w:right w:val="single" w:sz="6" w:space="0" w:color="2E74B5"/>
            </w:tcBorders>
            <w:shd w:val="clear" w:color="auto" w:fill="FF9999"/>
            <w:tcMar>
              <w:top w:w="80" w:type="dxa"/>
              <w:left w:w="120" w:type="dxa"/>
              <w:bottom w:w="80" w:type="dxa"/>
              <w:right w:w="120" w:type="dxa"/>
            </w:tcMar>
            <w:hideMark/>
          </w:tcPr>
          <w:p w14:paraId="58DC9CBF" w14:textId="77777777" w:rsidR="00EA406B" w:rsidRDefault="00EA406B">
            <w:pPr>
              <w:pStyle w:val="NormalWeb"/>
              <w:spacing w:before="0" w:beforeAutospacing="0" w:after="0" w:afterAutospacing="0"/>
            </w:pPr>
            <w:r>
              <w:rPr>
                <w:color w:val="000000"/>
                <w:sz w:val="20"/>
                <w:szCs w:val="20"/>
              </w:rPr>
              <w:t>COLLISION COURSE — steady bearing, decreasing range.</w:t>
            </w:r>
          </w:p>
        </w:tc>
        <w:tc>
          <w:tcPr>
            <w:tcW w:w="0" w:type="auto"/>
            <w:tcBorders>
              <w:top w:val="single" w:sz="6" w:space="0" w:color="2E74B5"/>
              <w:left w:val="single" w:sz="6" w:space="0" w:color="2E74B5"/>
              <w:bottom w:val="single" w:sz="6" w:space="0" w:color="2E74B5"/>
              <w:right w:val="single" w:sz="6" w:space="0" w:color="2E74B5"/>
            </w:tcBorders>
            <w:shd w:val="clear" w:color="auto" w:fill="FF9999"/>
            <w:tcMar>
              <w:top w:w="80" w:type="dxa"/>
              <w:left w:w="120" w:type="dxa"/>
              <w:bottom w:w="80" w:type="dxa"/>
              <w:right w:w="120" w:type="dxa"/>
            </w:tcMar>
            <w:hideMark/>
          </w:tcPr>
          <w:p w14:paraId="22763ACF" w14:textId="77777777" w:rsidR="00EA406B" w:rsidRDefault="00EA406B">
            <w:pPr>
              <w:pStyle w:val="NormalWeb"/>
              <w:spacing w:before="0" w:beforeAutospacing="0" w:after="0" w:afterAutospacing="0"/>
            </w:pPr>
            <w:r>
              <w:rPr>
                <w:color w:val="000000"/>
                <w:sz w:val="20"/>
                <w:szCs w:val="20"/>
              </w:rPr>
              <w:t>Immediate large alteration of course/speed. All stop if needed.</w:t>
            </w:r>
          </w:p>
        </w:tc>
      </w:tr>
    </w:tbl>
    <w:p w14:paraId="1590B9ED" w14:textId="77777777" w:rsidR="00EA406B" w:rsidRDefault="00EA406B">
      <w:pPr>
        <w:rPr>
          <w:rFonts w:eastAsia="Times New Roman"/>
        </w:rPr>
      </w:pPr>
    </w:p>
    <w:p w14:paraId="6C398021" w14:textId="77777777" w:rsidR="00EA406B" w:rsidRDefault="00EA406B">
      <w:pPr>
        <w:pStyle w:val="Heading2"/>
        <w:spacing w:before="300" w:after="160"/>
        <w:rPr>
          <w:rFonts w:eastAsia="Times New Roman"/>
        </w:rPr>
      </w:pPr>
      <w:r>
        <w:rPr>
          <w:rFonts w:eastAsia="Times New Roman"/>
          <w:color w:val="2E74B5"/>
          <w:sz w:val="24"/>
          <w:szCs w:val="24"/>
        </w:rPr>
        <w:t>2.4 CPA in the Context of AIS</w:t>
      </w:r>
    </w:p>
    <w:p w14:paraId="74F55351" w14:textId="77777777" w:rsidR="00EA406B" w:rsidRDefault="00EA406B">
      <w:pPr>
        <w:pStyle w:val="NormalWeb"/>
        <w:spacing w:before="0" w:beforeAutospacing="0" w:after="160" w:afterAutospacing="0"/>
        <w:ind w:firstLine="720"/>
        <w:jc w:val="both"/>
      </w:pPr>
      <w:r>
        <w:rPr>
          <w:color w:val="000000"/>
        </w:rPr>
        <w:t>The Automatic Identification System has significantly enriched the CPA determination process by providing vessel identity, true course, speed, and navigation status information for all AIS-equipped targets within VHF range — and, via satellite AIS (S-AIS), for vessels beyond the horizon. Modern integrated bridge systems automatically compute CPA and TCPA for AIS targets in the same way they do for ARPA targets, providing the OOW with a comprehensive traffic picture that goes beyond the radar's detection range. AIS-derived CPA is particularly useful for identifying vessels that are not yet within radar detection range but whose projected track will bring them into a close-quarters situation (IMO, 2020).</w:t>
      </w:r>
    </w:p>
    <w:p w14:paraId="028A48D5" w14:textId="77777777" w:rsidR="00EA406B" w:rsidRDefault="00EA406B">
      <w:pPr>
        <w:pStyle w:val="NormalWeb"/>
        <w:spacing w:before="0" w:beforeAutospacing="0" w:after="160" w:afterAutospacing="0"/>
        <w:ind w:firstLine="720"/>
        <w:jc w:val="both"/>
      </w:pPr>
      <w:r>
        <w:rPr>
          <w:color w:val="000000"/>
        </w:rPr>
        <w:t xml:space="preserve">However, AIS-derived CPA must never be treated as a substitute for radar-derived CPA. AIS data quality depends entirely on the accuracy of the transmitting vessel's GNSS and AIS configuration; erroneous position or heading inputs by the other vessel will produce a false CPA on the receiving ship's display. Small vessels below the SOLAS AIS threshold — artisanal canoes, small fishing boats, dinghies, and many pleasure craft — will not appear on AIS at all. In the Niger Delta, where the coastal waters are saturated with small wooden fishing boats whose radar cross-section is poor and which carry no AIS, the radar and visual lookout remain the primary collision avoidance tools (NIMASA, 2022; Cockcroft &amp; </w:t>
      </w:r>
      <w:proofErr w:type="spellStart"/>
      <w:r>
        <w:rPr>
          <w:color w:val="000000"/>
        </w:rPr>
        <w:t>Lameijer</w:t>
      </w:r>
      <w:proofErr w:type="spellEnd"/>
      <w:r>
        <w:rPr>
          <w:color w:val="000000"/>
        </w:rPr>
        <w:t>, 2018).</w:t>
      </w:r>
    </w:p>
    <w:p w14:paraId="0E18D758" w14:textId="77777777" w:rsidR="00EA406B" w:rsidRDefault="00EA406B">
      <w:pPr>
        <w:pStyle w:val="Heading2"/>
        <w:spacing w:before="300" w:after="160"/>
        <w:rPr>
          <w:rFonts w:eastAsia="Times New Roman"/>
        </w:rPr>
      </w:pPr>
      <w:r>
        <w:rPr>
          <w:rFonts w:eastAsia="Times New Roman"/>
          <w:color w:val="2E74B5"/>
          <w:sz w:val="24"/>
          <w:szCs w:val="24"/>
        </w:rPr>
        <w:t>2.5 Effects of Course and Speed Alterations on CPA</w:t>
      </w:r>
    </w:p>
    <w:p w14:paraId="6A09F4C7" w14:textId="77777777" w:rsidR="00EA406B" w:rsidRDefault="00EA406B">
      <w:pPr>
        <w:pStyle w:val="NormalWeb"/>
        <w:spacing w:before="0" w:beforeAutospacing="0" w:after="160" w:afterAutospacing="0"/>
        <w:ind w:firstLine="720"/>
        <w:jc w:val="both"/>
        <w:rPr>
          <w:color w:val="000000"/>
        </w:rPr>
      </w:pPr>
      <w:r>
        <w:rPr>
          <w:color w:val="000000"/>
        </w:rPr>
        <w:t xml:space="preserve">One of the most powerful applications of relative motion theory is the prediction of how a proposed </w:t>
      </w:r>
      <w:proofErr w:type="spellStart"/>
      <w:r>
        <w:rPr>
          <w:color w:val="000000"/>
        </w:rPr>
        <w:t>manoeuvre</w:t>
      </w:r>
      <w:proofErr w:type="spellEnd"/>
      <w:r>
        <w:rPr>
          <w:color w:val="000000"/>
        </w:rPr>
        <w:t xml:space="preserve"> by </w:t>
      </w:r>
      <w:proofErr w:type="spellStart"/>
      <w:r>
        <w:rPr>
          <w:color w:val="000000"/>
        </w:rPr>
        <w:t>ownship</w:t>
      </w:r>
      <w:proofErr w:type="spellEnd"/>
      <w:r>
        <w:rPr>
          <w:color w:val="000000"/>
        </w:rPr>
        <w:t xml:space="preserve"> will affect the CPA. By constructing a new relative velocity vector — incorporating the altered course or speed — the navigator can calculate the 'new CPA' that will result from the proposed action before committing to it. This is the basis of the systematic </w:t>
      </w:r>
      <w:proofErr w:type="spellStart"/>
      <w:r>
        <w:rPr>
          <w:color w:val="000000"/>
        </w:rPr>
        <w:t>manoeuvring</w:t>
      </w:r>
      <w:proofErr w:type="spellEnd"/>
      <w:r>
        <w:rPr>
          <w:color w:val="000000"/>
        </w:rPr>
        <w:t xml:space="preserve"> check required by COLREG Rule 8 — action to avoid collision must be timely and large enough to produce a substantial and clearly safe CPA, not just a marginal improvement (Cockcroft &amp; </w:t>
      </w:r>
      <w:proofErr w:type="spellStart"/>
      <w:r>
        <w:rPr>
          <w:color w:val="000000"/>
        </w:rPr>
        <w:t>Lameijer</w:t>
      </w:r>
      <w:proofErr w:type="spellEnd"/>
      <w:r>
        <w:rPr>
          <w:color w:val="000000"/>
        </w:rPr>
        <w:t xml:space="preserve">, 2018; Bole, Wall &amp; Norris, 2021). On modern ARPA systems, a 'trial </w:t>
      </w:r>
      <w:proofErr w:type="spellStart"/>
      <w:r>
        <w:rPr>
          <w:color w:val="000000"/>
        </w:rPr>
        <w:t>manoeuvre</w:t>
      </w:r>
      <w:proofErr w:type="spellEnd"/>
      <w:r>
        <w:rPr>
          <w:color w:val="000000"/>
        </w:rPr>
        <w:t xml:space="preserve">' function allows the navigator to input a proposed course or speed change and see its effect on all tracked targets simultaneously before executing the </w:t>
      </w:r>
      <w:proofErr w:type="spellStart"/>
      <w:r>
        <w:rPr>
          <w:color w:val="000000"/>
        </w:rPr>
        <w:t>manoeuvre</w:t>
      </w:r>
      <w:proofErr w:type="spellEnd"/>
      <w:r>
        <w:rPr>
          <w:color w:val="000000"/>
        </w:rPr>
        <w:t>.</w:t>
      </w:r>
    </w:p>
    <w:p w14:paraId="7A2C736E" w14:textId="77777777" w:rsidR="00667336" w:rsidRDefault="00667336">
      <w:pPr>
        <w:pStyle w:val="NormalWeb"/>
        <w:spacing w:before="0" w:beforeAutospacing="0" w:after="160" w:afterAutospacing="0"/>
        <w:ind w:firstLine="720"/>
        <w:jc w:val="both"/>
        <w:rPr>
          <w:color w:val="000000"/>
        </w:rPr>
      </w:pPr>
    </w:p>
    <w:p w14:paraId="60A69C66" w14:textId="77777777" w:rsidR="00667336" w:rsidRDefault="00667336">
      <w:pPr>
        <w:pStyle w:val="NormalWeb"/>
        <w:spacing w:before="0" w:beforeAutospacing="0" w:after="160" w:afterAutospacing="0"/>
        <w:ind w:firstLine="720"/>
        <w:jc w:val="both"/>
        <w:rPr>
          <w:color w:val="000000"/>
        </w:rPr>
      </w:pPr>
    </w:p>
    <w:p w14:paraId="6E01E43A" w14:textId="77777777" w:rsidR="00667336" w:rsidRDefault="00667336">
      <w:pPr>
        <w:pStyle w:val="NormalWeb"/>
        <w:spacing w:before="0" w:beforeAutospacing="0" w:after="160" w:afterAutospacing="0"/>
        <w:ind w:firstLine="720"/>
        <w:jc w:val="both"/>
      </w:pPr>
    </w:p>
    <w:p w14:paraId="3AE80E9A" w14:textId="77777777" w:rsidR="004341C0" w:rsidRDefault="004341C0">
      <w:pPr>
        <w:pStyle w:val="NormalWeb"/>
        <w:spacing w:before="0" w:beforeAutospacing="0" w:after="160" w:afterAutospacing="0"/>
        <w:ind w:firstLine="720"/>
        <w:jc w:val="both"/>
      </w:pPr>
    </w:p>
    <w:p w14:paraId="4DB32CF0" w14:textId="77777777" w:rsidR="004341C0" w:rsidRDefault="004341C0">
      <w:pPr>
        <w:pStyle w:val="NormalWeb"/>
        <w:spacing w:before="0" w:beforeAutospacing="0" w:after="160" w:afterAutospacing="0"/>
        <w:ind w:firstLine="720"/>
        <w:jc w:val="both"/>
      </w:pPr>
    </w:p>
    <w:p w14:paraId="1B0074C6" w14:textId="77777777" w:rsidR="00EA406B" w:rsidRDefault="00EA406B">
      <w:pPr>
        <w:pStyle w:val="NormalWeb"/>
        <w:spacing w:before="240" w:beforeAutospacing="0" w:after="80" w:afterAutospacing="0"/>
        <w:jc w:val="center"/>
      </w:pPr>
      <w:r>
        <w:rPr>
          <w:b/>
          <w:bCs/>
          <w:smallCaps/>
          <w:color w:val="1F4E79"/>
          <w:sz w:val="30"/>
          <w:szCs w:val="30"/>
        </w:rPr>
        <w:lastRenderedPageBreak/>
        <w:t>QUESTION 3</w:t>
      </w:r>
    </w:p>
    <w:p w14:paraId="7B8C9AC8" w14:textId="77777777" w:rsidR="00EA406B" w:rsidRDefault="00EA406B">
      <w:pPr>
        <w:pStyle w:val="NormalWeb"/>
        <w:spacing w:before="0" w:beforeAutospacing="0" w:after="240" w:afterAutospacing="0"/>
        <w:jc w:val="center"/>
      </w:pPr>
      <w:r>
        <w:rPr>
          <w:b/>
          <w:bCs/>
          <w:color w:val="2E74B5"/>
          <w:sz w:val="26"/>
          <w:szCs w:val="26"/>
        </w:rPr>
        <w:t>COLREG Rule 7 — Risk of Collision</w:t>
      </w:r>
    </w:p>
    <w:p w14:paraId="0C948F6C" w14:textId="77777777" w:rsidR="00EA406B" w:rsidRDefault="00EA406B">
      <w:pPr>
        <w:pStyle w:val="Heading1"/>
        <w:spacing w:before="400" w:after="200"/>
        <w:rPr>
          <w:rFonts w:eastAsia="Times New Roman"/>
        </w:rPr>
      </w:pPr>
      <w:r>
        <w:rPr>
          <w:rFonts w:eastAsia="Times New Roman"/>
          <w:color w:val="1F4E79"/>
          <w:sz w:val="28"/>
          <w:szCs w:val="28"/>
        </w:rPr>
        <w:t>3. COLREG Rule 7 — Risk of Collision</w:t>
      </w:r>
    </w:p>
    <w:p w14:paraId="3A4ECBE5" w14:textId="77777777" w:rsidR="00EA406B" w:rsidRDefault="00EA406B">
      <w:pPr>
        <w:pStyle w:val="Heading2"/>
        <w:spacing w:before="300" w:after="160"/>
        <w:rPr>
          <w:rFonts w:eastAsia="Times New Roman"/>
        </w:rPr>
      </w:pPr>
      <w:r>
        <w:rPr>
          <w:rFonts w:eastAsia="Times New Roman"/>
          <w:color w:val="2E74B5"/>
          <w:sz w:val="24"/>
          <w:szCs w:val="24"/>
        </w:rPr>
        <w:t>3.1 The International Regulations for Preventing Collisions at Sea</w:t>
      </w:r>
    </w:p>
    <w:p w14:paraId="7BF0E9BA" w14:textId="77777777" w:rsidR="00EA406B" w:rsidRDefault="00EA406B">
      <w:pPr>
        <w:pStyle w:val="NormalWeb"/>
        <w:spacing w:before="0" w:beforeAutospacing="0" w:after="160" w:afterAutospacing="0"/>
        <w:ind w:firstLine="720"/>
        <w:jc w:val="both"/>
      </w:pPr>
      <w:r>
        <w:rPr>
          <w:color w:val="000000"/>
        </w:rPr>
        <w:t>The International Regulations for Preventing Collisions at Sea — COLREG — constitute the supreme international legal framework governing the conduct of vessels on the world's navigable waters. Adopted in 1972 and brought into force in 1977, the COLREG has been progressively amended by the IMO, with the most recent amendments to Annex I and IV entering into force in 2016. The Regulations apply to all vessels on the high seas and in all waters connected therewith that are navigable by seagoing vessels, and they are incorporated into the domestic law of virtually all maritime nations, including Nigeria (IMO, 2020).</w:t>
      </w:r>
    </w:p>
    <w:p w14:paraId="64438718" w14:textId="77777777" w:rsidR="00EA406B" w:rsidRDefault="00EA406B">
      <w:pPr>
        <w:pStyle w:val="NormalWeb"/>
        <w:spacing w:before="0" w:beforeAutospacing="0" w:after="160" w:afterAutospacing="0"/>
        <w:ind w:firstLine="720"/>
        <w:jc w:val="both"/>
      </w:pPr>
      <w:r>
        <w:rPr>
          <w:color w:val="000000"/>
        </w:rPr>
        <w:t xml:space="preserve">Rule 7, titled 'Risk of Collision,' sits within Part B Section I of the COLREG — the section that applies to vessels in all conditions of visibility and establishes the fundamental obligations of collision avoidance applicable at all times. It is the diagnostic rule: it tells the </w:t>
      </w:r>
      <w:proofErr w:type="spellStart"/>
      <w:r>
        <w:rPr>
          <w:color w:val="000000"/>
        </w:rPr>
        <w:t>watchkeeping</w:t>
      </w:r>
      <w:proofErr w:type="spellEnd"/>
      <w:r>
        <w:rPr>
          <w:color w:val="000000"/>
        </w:rPr>
        <w:t xml:space="preserve"> officer how to determine whether a developing traffic situation poses a risk of collision. It does not tell the officer what to do once risk is identified — that is the function of Rule 8 — but it establishes the standard of care and systematic observation that must precede any collision avoidance action (Cockcroft &amp; </w:t>
      </w:r>
      <w:proofErr w:type="spellStart"/>
      <w:r>
        <w:rPr>
          <w:color w:val="000000"/>
        </w:rPr>
        <w:t>Lameijer</w:t>
      </w:r>
      <w:proofErr w:type="spellEnd"/>
      <w:r>
        <w:rPr>
          <w:color w:val="000000"/>
        </w:rPr>
        <w:t>, 2018).</w:t>
      </w:r>
    </w:p>
    <w:p w14:paraId="0DA28D99" w14:textId="77777777" w:rsidR="00EA406B" w:rsidRDefault="00EA406B">
      <w:pPr>
        <w:pStyle w:val="NormalWeb"/>
        <w:spacing w:before="80" w:beforeAutospacing="0" w:after="240" w:afterAutospacing="0"/>
        <w:jc w:val="center"/>
      </w:pPr>
      <w:r>
        <w:rPr>
          <w:i/>
          <w:iCs/>
          <w:color w:val="595959"/>
          <w:sz w:val="20"/>
          <w:szCs w:val="20"/>
        </w:rPr>
        <w:t>Figure 4: COLREG Rule 7 — Systematic Decision Flowchart for the Officer of the Watch. Source: Author's original diagram.</w:t>
      </w:r>
    </w:p>
    <w:p w14:paraId="301ECCF2" w14:textId="77777777" w:rsidR="00EA406B" w:rsidRDefault="00EA406B">
      <w:pPr>
        <w:pStyle w:val="Heading2"/>
        <w:spacing w:before="300" w:after="160"/>
        <w:rPr>
          <w:rFonts w:eastAsia="Times New Roman"/>
        </w:rPr>
      </w:pPr>
      <w:r>
        <w:rPr>
          <w:rFonts w:eastAsia="Times New Roman"/>
          <w:color w:val="2E74B5"/>
          <w:sz w:val="24"/>
          <w:szCs w:val="24"/>
        </w:rPr>
        <w:t>3.2 Rule 7(a) — The Duty to Use All Available Means</w:t>
      </w:r>
    </w:p>
    <w:p w14:paraId="28A939C1" w14:textId="77777777" w:rsidR="00EA406B" w:rsidRDefault="00EA406B">
      <w:pPr>
        <w:pStyle w:val="NormalWeb"/>
        <w:spacing w:before="0" w:beforeAutospacing="0" w:after="160" w:afterAutospacing="0"/>
        <w:ind w:firstLine="720"/>
        <w:jc w:val="both"/>
      </w:pPr>
      <w:r>
        <w:rPr>
          <w:color w:val="000000"/>
        </w:rPr>
        <w:t>The text of Rule 7(a) states: 'Every vessel shall use all available means appropriate to the prevailing circumstances and conditions to determine if risk of collision exists. If there is any doubt such risk shall be deemed to exist.' This provision is remarkable for two reasons: the breadth of the duty it imposes and the precautionary standard it establishes.</w:t>
      </w:r>
    </w:p>
    <w:p w14:paraId="7F1972C8" w14:textId="77777777" w:rsidR="00EA406B" w:rsidRDefault="00EA406B">
      <w:pPr>
        <w:pStyle w:val="NormalWeb"/>
        <w:spacing w:before="0" w:beforeAutospacing="0" w:after="160" w:afterAutospacing="0"/>
        <w:ind w:firstLine="720"/>
        <w:jc w:val="both"/>
      </w:pPr>
      <w:r>
        <w:rPr>
          <w:color w:val="000000"/>
        </w:rPr>
        <w:t xml:space="preserve">The phrase 'all available means' is deliberately expansive. It encompasses visual lookout from the bridge and bridge wings, the use of binoculars, radar and ARPA, the AIS display, communication with other vessels on VHF Channel 16, consultation of the nautical chart and traffic separation scheme information, and any other tool or method available on that particular vessel in those particular circumstances. The obligation is calibrated to what is available and appropriate — a vessel equipped with ARPA has a higher duty to use it than one without, and a vessel approaching a poorly lit anchorage in restricted visibility has a higher duty to use a spotlight than one in open clear-weather ocean (Cockcroft &amp; </w:t>
      </w:r>
      <w:proofErr w:type="spellStart"/>
      <w:r>
        <w:rPr>
          <w:color w:val="000000"/>
        </w:rPr>
        <w:t>Lameijer</w:t>
      </w:r>
      <w:proofErr w:type="spellEnd"/>
      <w:r>
        <w:rPr>
          <w:color w:val="000000"/>
        </w:rPr>
        <w:t>, 2018; IMO, 2020).</w:t>
      </w:r>
    </w:p>
    <w:p w14:paraId="0E55626A" w14:textId="77777777" w:rsidR="00EA406B" w:rsidRDefault="00EA406B">
      <w:pPr>
        <w:pStyle w:val="NormalWeb"/>
        <w:spacing w:before="0" w:beforeAutospacing="0" w:after="160" w:afterAutospacing="0"/>
        <w:ind w:firstLine="720"/>
        <w:jc w:val="both"/>
      </w:pPr>
      <w:r>
        <w:rPr>
          <w:color w:val="000000"/>
        </w:rPr>
        <w:t xml:space="preserve">The second sentence — 'if there is any doubt such risk shall be deemed to exist' — is the single most operationally important sentence in Rule 7 and one of the most consequential in the entire COLREG. It eliminates the dangerous middle ground of passive hope. The navigator who watches a developing traffic situation and thinks 'I'm not sure, but it's probably OK' is in exactly the situation Rule 7(a) addresses. By requiring that doubt be treated as certainty of risk, the rule </w:t>
      </w:r>
      <w:r>
        <w:rPr>
          <w:color w:val="000000"/>
        </w:rPr>
        <w:lastRenderedPageBreak/>
        <w:t>compels the navigator to act as if risk exists, driving him toward the systematic assessment required by Rules 7(b), 7(c), and 7(d), and toward the early, decisive action required by Rule 8.</w:t>
      </w:r>
    </w:p>
    <w:p w14:paraId="7CAD2471" w14:textId="77777777" w:rsidR="00EA406B" w:rsidRDefault="00EA406B">
      <w:pPr>
        <w:pStyle w:val="Heading2"/>
        <w:spacing w:before="300" w:after="160"/>
        <w:rPr>
          <w:rFonts w:eastAsia="Times New Roman"/>
        </w:rPr>
      </w:pPr>
      <w:r>
        <w:rPr>
          <w:rFonts w:eastAsia="Times New Roman"/>
          <w:color w:val="2E74B5"/>
          <w:sz w:val="24"/>
          <w:szCs w:val="24"/>
        </w:rPr>
        <w:t>3.3 Rule 7(b) — Proper Use of Radar and Radar Plotting</w:t>
      </w:r>
    </w:p>
    <w:p w14:paraId="195BFC23" w14:textId="77777777" w:rsidR="00EA406B" w:rsidRDefault="00EA406B">
      <w:pPr>
        <w:pStyle w:val="NormalWeb"/>
        <w:spacing w:before="0" w:beforeAutospacing="0" w:after="160" w:afterAutospacing="0"/>
        <w:ind w:firstLine="720"/>
        <w:jc w:val="both"/>
      </w:pPr>
      <w:r>
        <w:rPr>
          <w:color w:val="000000"/>
        </w:rPr>
        <w:t xml:space="preserve">Rule 7(b) states: 'Proper use shall be made of radar equipment if fitted and operational, including long-range scanning to obtain early warning of risk of collision and radar plotting or equivalent systematic observation of detected objects.' The phrase 'proper use' is a qualitative standard that requires far more than simply switching the radar on. It encompasses correct selection of the range scale, optimal adjustment of gain and sea/rain clutter controls to </w:t>
      </w:r>
      <w:proofErr w:type="spellStart"/>
      <w:r>
        <w:rPr>
          <w:color w:val="000000"/>
        </w:rPr>
        <w:t>minimise</w:t>
      </w:r>
      <w:proofErr w:type="spellEnd"/>
      <w:r>
        <w:rPr>
          <w:color w:val="000000"/>
        </w:rPr>
        <w:t xml:space="preserve"> false echoes while preserving all genuine targets, periodic switching to longer range scales for early detection of approaching vessels, systematic acquisition and tracking of all relevant targets, and continuous monitoring of CPA and TCPA values (Bole, Wall &amp; Norris, 2021).</w:t>
      </w:r>
    </w:p>
    <w:p w14:paraId="78E49291" w14:textId="77777777" w:rsidR="00EA406B" w:rsidRDefault="00EA406B">
      <w:pPr>
        <w:pStyle w:val="NormalWeb"/>
        <w:spacing w:before="0" w:beforeAutospacing="0" w:after="160" w:afterAutospacing="0"/>
        <w:ind w:firstLine="720"/>
        <w:jc w:val="both"/>
      </w:pPr>
      <w:r>
        <w:rPr>
          <w:color w:val="000000"/>
        </w:rPr>
        <w:t xml:space="preserve">The explicit reference to 'radar plotting or equivalent systematic observation' establishes the baseline of analytical </w:t>
      </w:r>
      <w:proofErr w:type="spellStart"/>
      <w:r>
        <w:rPr>
          <w:color w:val="000000"/>
        </w:rPr>
        <w:t>rigour</w:t>
      </w:r>
      <w:proofErr w:type="spellEnd"/>
      <w:r>
        <w:rPr>
          <w:color w:val="000000"/>
        </w:rPr>
        <w:t xml:space="preserve"> required. Manual radar plotting on a reflection plotter — taking successive range and bearing readings, plotting target positions, drawing the relative motion line, and computing CPA and TCPA geometrically — is the traditional method. 'Equivalent systematic observation' includes the use of ARPA, which performs the same analysis automatically, provided the operator has acquired the target, verified the computed vectors against the raw radar picture, and correctly interprets the displayed CPA/TCPA values. What Rule 7(b) categorically prohibits is the casual observation of radar echoes without any systematic motion analysis — watching a blip and assuming it is not dangerous because it 'looks' like it is moving away (Cockcroft &amp; </w:t>
      </w:r>
      <w:proofErr w:type="spellStart"/>
      <w:r>
        <w:rPr>
          <w:color w:val="000000"/>
        </w:rPr>
        <w:t>Lameijer</w:t>
      </w:r>
      <w:proofErr w:type="spellEnd"/>
      <w:r>
        <w:rPr>
          <w:color w:val="000000"/>
        </w:rPr>
        <w:t>, 2018).</w:t>
      </w:r>
    </w:p>
    <w:p w14:paraId="73D7CC4B" w14:textId="77777777" w:rsidR="00EA406B" w:rsidRDefault="00EA406B">
      <w:pPr>
        <w:pStyle w:val="Heading2"/>
        <w:spacing w:before="300" w:after="160"/>
        <w:rPr>
          <w:rFonts w:eastAsia="Times New Roman"/>
        </w:rPr>
      </w:pPr>
      <w:r>
        <w:rPr>
          <w:rFonts w:eastAsia="Times New Roman"/>
          <w:color w:val="2E74B5"/>
          <w:sz w:val="24"/>
          <w:szCs w:val="24"/>
        </w:rPr>
        <w:t>3.4 Rule 7(c) — No Assumptions on Scanty Information</w:t>
      </w:r>
    </w:p>
    <w:p w14:paraId="38C5509C" w14:textId="77777777" w:rsidR="00EA406B" w:rsidRDefault="00EA406B">
      <w:pPr>
        <w:pStyle w:val="NormalWeb"/>
        <w:spacing w:before="0" w:beforeAutospacing="0" w:after="160" w:afterAutospacing="0"/>
        <w:ind w:firstLine="720"/>
        <w:jc w:val="both"/>
      </w:pPr>
      <w:r>
        <w:rPr>
          <w:color w:val="000000"/>
        </w:rPr>
        <w:t xml:space="preserve">Rule 7(c) states: 'Assumptions shall not be made on the basis of scanty information, especially scanty radar information.' This provision targets one of the most common and dangerous errors in </w:t>
      </w:r>
      <w:proofErr w:type="spellStart"/>
      <w:r>
        <w:rPr>
          <w:color w:val="000000"/>
        </w:rPr>
        <w:t>watchkeeping</w:t>
      </w:r>
      <w:proofErr w:type="spellEnd"/>
      <w:r>
        <w:rPr>
          <w:color w:val="000000"/>
        </w:rPr>
        <w:t>: premature closure. A navigator who takes two radar observations, notes an apparent bearing change, and decides the target presents no risk has made an assumption based on scanty information. Two observations separated by three minutes provide a relative motion line with significant potential for error, and any conclusion about CPA drawn from that data is unreliable. A bearing that appears to be drawing on two observations may be steady or closing on four (Bole, Wall &amp; Norris, 2021).</w:t>
      </w:r>
    </w:p>
    <w:p w14:paraId="04B231CA" w14:textId="77777777" w:rsidR="00EA406B" w:rsidRDefault="00EA406B">
      <w:pPr>
        <w:pStyle w:val="NormalWeb"/>
        <w:spacing w:before="0" w:beforeAutospacing="0" w:after="160" w:afterAutospacing="0"/>
        <w:ind w:firstLine="720"/>
        <w:jc w:val="both"/>
      </w:pPr>
      <w:r>
        <w:rPr>
          <w:color w:val="000000"/>
        </w:rPr>
        <w:t xml:space="preserve">The specific mention of 'scanty radar information' acknowledges the unique epistemological risk of radar: it presents a picture that looks precise and authoritative — bearings given to 0.1 of a degree, ranges to 0.01 nautical miles — and this precision can induce unjustified confidence. The navigator must resist the seductive authority of electronic displays and </w:t>
      </w:r>
      <w:proofErr w:type="spellStart"/>
      <w:r>
        <w:rPr>
          <w:color w:val="000000"/>
        </w:rPr>
        <w:t>recognise</w:t>
      </w:r>
      <w:proofErr w:type="spellEnd"/>
      <w:r>
        <w:rPr>
          <w:color w:val="000000"/>
        </w:rPr>
        <w:t xml:space="preserve"> that the quality of the CPA calculation is only as good as the quality and quantity of the observations on which it is based. A minimum of three observations across at least six minutes is generally recommended for initial CPA determination, with subsequent observations to confirm the trend (Cockcroft &amp; </w:t>
      </w:r>
      <w:proofErr w:type="spellStart"/>
      <w:r>
        <w:rPr>
          <w:color w:val="000000"/>
        </w:rPr>
        <w:t>Lameijer</w:t>
      </w:r>
      <w:proofErr w:type="spellEnd"/>
      <w:r>
        <w:rPr>
          <w:color w:val="000000"/>
        </w:rPr>
        <w:t>, 2018; IMO, 2020).</w:t>
      </w:r>
    </w:p>
    <w:p w14:paraId="432CBFF0" w14:textId="77777777" w:rsidR="00EA406B" w:rsidRDefault="00EA406B">
      <w:pPr>
        <w:pStyle w:val="Heading2"/>
        <w:spacing w:before="300" w:after="160"/>
        <w:rPr>
          <w:rFonts w:eastAsia="Times New Roman"/>
        </w:rPr>
      </w:pPr>
      <w:r>
        <w:rPr>
          <w:rFonts w:eastAsia="Times New Roman"/>
          <w:color w:val="2E74B5"/>
          <w:sz w:val="24"/>
          <w:szCs w:val="24"/>
        </w:rPr>
        <w:lastRenderedPageBreak/>
        <w:t>3.5 Rule 7(d) — Specific Risk Indicators</w:t>
      </w:r>
    </w:p>
    <w:p w14:paraId="26CC44D0" w14:textId="77777777" w:rsidR="00EA406B" w:rsidRDefault="00EA406B">
      <w:pPr>
        <w:pStyle w:val="NormalWeb"/>
        <w:spacing w:before="0" w:beforeAutospacing="0" w:after="160" w:afterAutospacing="0"/>
        <w:ind w:firstLine="720"/>
        <w:jc w:val="both"/>
      </w:pPr>
      <w:r>
        <w:rPr>
          <w:color w:val="000000"/>
        </w:rPr>
        <w:t>Rule 7(d) identifies two specific situations that are particularly indicative of risk of collision. Sub-clause (</w:t>
      </w:r>
      <w:proofErr w:type="spellStart"/>
      <w:r>
        <w:rPr>
          <w:color w:val="000000"/>
        </w:rPr>
        <w:t>i</w:t>
      </w:r>
      <w:proofErr w:type="spellEnd"/>
      <w:r>
        <w:rPr>
          <w:color w:val="000000"/>
        </w:rPr>
        <w:t xml:space="preserve">) states that risk of collision 'shall be deemed to exist if the compass bearing of an approaching vessel does not appreciably change.' This is the classical steady bearing rule, which can be derived directly from the geometry of relative motion: if the compass bearing of an approaching vessel remains constant while the range decreases, the relative motion line passes through </w:t>
      </w:r>
      <w:proofErr w:type="spellStart"/>
      <w:r>
        <w:rPr>
          <w:color w:val="000000"/>
        </w:rPr>
        <w:t>ownship's</w:t>
      </w:r>
      <w:proofErr w:type="spellEnd"/>
      <w:r>
        <w:rPr>
          <w:color w:val="000000"/>
        </w:rPr>
        <w:t xml:space="preserve"> position, meaning the two vessels are on a collision course. The word 'appreciably' is critical — a trivial bearing change is insufficient. The change must be sustained and substantial enough to confirm a clearly safe CPA (IMO, 2020).</w:t>
      </w:r>
    </w:p>
    <w:p w14:paraId="0578A540" w14:textId="77777777" w:rsidR="00EA406B" w:rsidRDefault="00EA406B">
      <w:pPr>
        <w:pStyle w:val="NormalWeb"/>
        <w:spacing w:before="0" w:beforeAutospacing="0" w:after="160" w:afterAutospacing="0"/>
        <w:ind w:firstLine="720"/>
        <w:jc w:val="both"/>
      </w:pPr>
      <w:r>
        <w:rPr>
          <w:color w:val="000000"/>
        </w:rPr>
        <w:t xml:space="preserve">Sub-clause (ii) adds an important qualification: 'such risk may sometimes exist even when an appreciable bearing change is evident, particularly when approaching a very large vessel or a tow or when approaching a vessel at close range.' This provision addresses the geometry of large vessels: a VLCC may be 330 </w:t>
      </w:r>
      <w:proofErr w:type="spellStart"/>
      <w:r>
        <w:rPr>
          <w:color w:val="000000"/>
        </w:rPr>
        <w:t>metres</w:t>
      </w:r>
      <w:proofErr w:type="spellEnd"/>
      <w:r>
        <w:rPr>
          <w:color w:val="000000"/>
        </w:rPr>
        <w:t xml:space="preserve"> long and 60 </w:t>
      </w:r>
      <w:proofErr w:type="spellStart"/>
      <w:r>
        <w:rPr>
          <w:color w:val="000000"/>
        </w:rPr>
        <w:t>metres</w:t>
      </w:r>
      <w:proofErr w:type="spellEnd"/>
      <w:r>
        <w:rPr>
          <w:color w:val="000000"/>
        </w:rPr>
        <w:t xml:space="preserve"> wide. If </w:t>
      </w:r>
      <w:proofErr w:type="spellStart"/>
      <w:r>
        <w:rPr>
          <w:color w:val="000000"/>
        </w:rPr>
        <w:t>ownship</w:t>
      </w:r>
      <w:proofErr w:type="spellEnd"/>
      <w:r>
        <w:rPr>
          <w:color w:val="000000"/>
        </w:rPr>
        <w:t xml:space="preserve"> is approaching the tanker from an oblique angle and observing the bearing of the tanker's bridge, the bearing of the bridge may be drawing ahead even as the ship is on a course that will pass dangerously close to or even strike the tanker's stern. The bearing change is appreciable, but the CPA — measured to the nearest point of the tanker's hull rather than to its bridge — may still be negligible or negative. Similarly, the towline of a vessel towing astern may extend hundreds of </w:t>
      </w:r>
      <w:proofErr w:type="spellStart"/>
      <w:r>
        <w:rPr>
          <w:color w:val="000000"/>
        </w:rPr>
        <w:t>metres</w:t>
      </w:r>
      <w:proofErr w:type="spellEnd"/>
      <w:r>
        <w:rPr>
          <w:color w:val="000000"/>
        </w:rPr>
        <w:t xml:space="preserve"> beyond the stern of the towing vessel, representing a hazard that a bearing-to-the-bridge analysis would completely miss.</w:t>
      </w:r>
    </w:p>
    <w:p w14:paraId="006838E2" w14:textId="77777777" w:rsidR="00EA406B" w:rsidRDefault="00EA406B">
      <w:pPr>
        <w:pStyle w:val="NormalWeb"/>
        <w:spacing w:before="200" w:beforeAutospacing="0" w:after="80" w:afterAutospacing="0"/>
        <w:jc w:val="center"/>
      </w:pPr>
      <w:r>
        <w:rPr>
          <w:b/>
          <w:bCs/>
          <w:color w:val="1F4E79"/>
          <w:sz w:val="20"/>
          <w:szCs w:val="20"/>
        </w:rPr>
        <w:t>Table 4: Summary of COLREG Rule 7 Sub-clauses and Their Operational Implications</w:t>
      </w:r>
    </w:p>
    <w:tbl>
      <w:tblPr>
        <w:tblW w:w="0" w:type="auto"/>
        <w:tblCellMar>
          <w:top w:w="15" w:type="dxa"/>
          <w:left w:w="15" w:type="dxa"/>
          <w:bottom w:w="15" w:type="dxa"/>
          <w:right w:w="15" w:type="dxa"/>
        </w:tblCellMar>
        <w:tblLook w:val="04A0" w:firstRow="1" w:lastRow="0" w:firstColumn="1" w:lastColumn="0" w:noHBand="0" w:noVBand="1"/>
      </w:tblPr>
      <w:tblGrid>
        <w:gridCol w:w="883"/>
        <w:gridCol w:w="2586"/>
        <w:gridCol w:w="3108"/>
        <w:gridCol w:w="2767"/>
      </w:tblGrid>
      <w:tr w:rsidR="00EA406B" w14:paraId="11C554C4" w14:textId="77777777">
        <w:tc>
          <w:tcPr>
            <w:tcW w:w="0" w:type="auto"/>
            <w:tcBorders>
              <w:top w:val="single" w:sz="6" w:space="0" w:color="2E74B5"/>
              <w:left w:val="single" w:sz="6" w:space="0" w:color="2E74B5"/>
              <w:bottom w:val="single" w:sz="6" w:space="0" w:color="2E74B5"/>
              <w:right w:val="single" w:sz="6" w:space="0" w:color="2E74B5"/>
            </w:tcBorders>
            <w:shd w:val="clear" w:color="auto" w:fill="1F4E79"/>
            <w:tcMar>
              <w:top w:w="80" w:type="dxa"/>
              <w:left w:w="120" w:type="dxa"/>
              <w:bottom w:w="80" w:type="dxa"/>
              <w:right w:w="120" w:type="dxa"/>
            </w:tcMar>
            <w:vAlign w:val="center"/>
            <w:hideMark/>
          </w:tcPr>
          <w:p w14:paraId="395AE528" w14:textId="77777777" w:rsidR="00EA406B" w:rsidRDefault="00EA406B">
            <w:pPr>
              <w:pStyle w:val="NormalWeb"/>
              <w:spacing w:before="0" w:beforeAutospacing="0" w:after="0" w:afterAutospacing="0"/>
              <w:jc w:val="center"/>
            </w:pPr>
            <w:r>
              <w:rPr>
                <w:b/>
                <w:bCs/>
                <w:color w:val="FFFFFF"/>
                <w:sz w:val="20"/>
                <w:szCs w:val="20"/>
              </w:rPr>
              <w:t>Sub-rule</w:t>
            </w:r>
          </w:p>
        </w:tc>
        <w:tc>
          <w:tcPr>
            <w:tcW w:w="0" w:type="auto"/>
            <w:tcBorders>
              <w:top w:val="single" w:sz="6" w:space="0" w:color="2E74B5"/>
              <w:left w:val="single" w:sz="6" w:space="0" w:color="2E74B5"/>
              <w:bottom w:val="single" w:sz="6" w:space="0" w:color="2E74B5"/>
              <w:right w:val="single" w:sz="6" w:space="0" w:color="2E74B5"/>
            </w:tcBorders>
            <w:shd w:val="clear" w:color="auto" w:fill="1F4E79"/>
            <w:tcMar>
              <w:top w:w="80" w:type="dxa"/>
              <w:left w:w="120" w:type="dxa"/>
              <w:bottom w:w="80" w:type="dxa"/>
              <w:right w:w="120" w:type="dxa"/>
            </w:tcMar>
            <w:vAlign w:val="center"/>
            <w:hideMark/>
          </w:tcPr>
          <w:p w14:paraId="6F160C11" w14:textId="77777777" w:rsidR="00EA406B" w:rsidRDefault="00EA406B">
            <w:pPr>
              <w:pStyle w:val="NormalWeb"/>
              <w:spacing w:before="0" w:beforeAutospacing="0" w:after="0" w:afterAutospacing="0"/>
              <w:jc w:val="center"/>
            </w:pPr>
            <w:r>
              <w:rPr>
                <w:b/>
                <w:bCs/>
                <w:color w:val="FFFFFF"/>
                <w:sz w:val="20"/>
                <w:szCs w:val="20"/>
              </w:rPr>
              <w:t>Key Provision</w:t>
            </w:r>
          </w:p>
        </w:tc>
        <w:tc>
          <w:tcPr>
            <w:tcW w:w="0" w:type="auto"/>
            <w:tcBorders>
              <w:top w:val="single" w:sz="6" w:space="0" w:color="2E74B5"/>
              <w:left w:val="single" w:sz="6" w:space="0" w:color="2E74B5"/>
              <w:bottom w:val="single" w:sz="6" w:space="0" w:color="2E74B5"/>
              <w:right w:val="single" w:sz="6" w:space="0" w:color="2E74B5"/>
            </w:tcBorders>
            <w:shd w:val="clear" w:color="auto" w:fill="1F4E79"/>
            <w:tcMar>
              <w:top w:w="80" w:type="dxa"/>
              <w:left w:w="120" w:type="dxa"/>
              <w:bottom w:w="80" w:type="dxa"/>
              <w:right w:w="120" w:type="dxa"/>
            </w:tcMar>
            <w:vAlign w:val="center"/>
            <w:hideMark/>
          </w:tcPr>
          <w:p w14:paraId="3BD9DCEA" w14:textId="77777777" w:rsidR="00EA406B" w:rsidRDefault="00EA406B">
            <w:pPr>
              <w:pStyle w:val="NormalWeb"/>
              <w:spacing w:before="0" w:beforeAutospacing="0" w:after="0" w:afterAutospacing="0"/>
              <w:jc w:val="center"/>
            </w:pPr>
            <w:r>
              <w:rPr>
                <w:b/>
                <w:bCs/>
                <w:color w:val="FFFFFF"/>
                <w:sz w:val="20"/>
                <w:szCs w:val="20"/>
              </w:rPr>
              <w:t>Standard Required</w:t>
            </w:r>
          </w:p>
        </w:tc>
        <w:tc>
          <w:tcPr>
            <w:tcW w:w="0" w:type="auto"/>
            <w:tcBorders>
              <w:top w:val="single" w:sz="6" w:space="0" w:color="2E74B5"/>
              <w:left w:val="single" w:sz="6" w:space="0" w:color="2E74B5"/>
              <w:bottom w:val="single" w:sz="6" w:space="0" w:color="2E74B5"/>
              <w:right w:val="single" w:sz="6" w:space="0" w:color="2E74B5"/>
            </w:tcBorders>
            <w:shd w:val="clear" w:color="auto" w:fill="1F4E79"/>
            <w:tcMar>
              <w:top w:w="80" w:type="dxa"/>
              <w:left w:w="120" w:type="dxa"/>
              <w:bottom w:w="80" w:type="dxa"/>
              <w:right w:w="120" w:type="dxa"/>
            </w:tcMar>
            <w:vAlign w:val="center"/>
            <w:hideMark/>
          </w:tcPr>
          <w:p w14:paraId="2FFCD6B3" w14:textId="77777777" w:rsidR="00EA406B" w:rsidRDefault="00EA406B">
            <w:pPr>
              <w:pStyle w:val="NormalWeb"/>
              <w:spacing w:before="0" w:beforeAutospacing="0" w:after="0" w:afterAutospacing="0"/>
              <w:jc w:val="center"/>
            </w:pPr>
            <w:r>
              <w:rPr>
                <w:b/>
                <w:bCs/>
                <w:color w:val="FFFFFF"/>
                <w:sz w:val="20"/>
                <w:szCs w:val="20"/>
              </w:rPr>
              <w:t>Common Failure Mode</w:t>
            </w:r>
          </w:p>
        </w:tc>
      </w:tr>
      <w:tr w:rsidR="00EA406B" w14:paraId="5EA7D320" w14:textId="77777777">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5A519E78" w14:textId="77777777" w:rsidR="00EA406B" w:rsidRDefault="00EA406B">
            <w:pPr>
              <w:pStyle w:val="NormalWeb"/>
              <w:spacing w:before="0" w:beforeAutospacing="0" w:after="0" w:afterAutospacing="0"/>
              <w:jc w:val="center"/>
            </w:pPr>
            <w:r>
              <w:rPr>
                <w:b/>
                <w:bCs/>
                <w:color w:val="000000"/>
                <w:sz w:val="20"/>
                <w:szCs w:val="20"/>
              </w:rPr>
              <w:t>7(a)</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08395570" w14:textId="77777777" w:rsidR="00EA406B" w:rsidRDefault="00EA406B">
            <w:pPr>
              <w:pStyle w:val="NormalWeb"/>
              <w:spacing w:before="0" w:beforeAutospacing="0" w:after="0" w:afterAutospacing="0"/>
            </w:pPr>
            <w:r>
              <w:rPr>
                <w:color w:val="000000"/>
                <w:sz w:val="20"/>
                <w:szCs w:val="20"/>
              </w:rPr>
              <w:t>Use all available means; doubt = risk</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1A8F561F" w14:textId="77777777" w:rsidR="00EA406B" w:rsidRDefault="00EA406B">
            <w:pPr>
              <w:pStyle w:val="NormalWeb"/>
              <w:spacing w:before="0" w:beforeAutospacing="0" w:after="0" w:afterAutospacing="0"/>
            </w:pPr>
            <w:r>
              <w:rPr>
                <w:color w:val="000000"/>
                <w:sz w:val="20"/>
                <w:szCs w:val="20"/>
              </w:rPr>
              <w:t>Active, continuous, comprehensive assessment</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07E7B217" w14:textId="77777777" w:rsidR="00EA406B" w:rsidRDefault="00EA406B">
            <w:pPr>
              <w:pStyle w:val="NormalWeb"/>
              <w:spacing w:before="0" w:beforeAutospacing="0" w:after="0" w:afterAutospacing="0"/>
            </w:pPr>
            <w:r>
              <w:rPr>
                <w:color w:val="000000"/>
                <w:sz w:val="20"/>
                <w:szCs w:val="20"/>
              </w:rPr>
              <w:t xml:space="preserve">Passive reliance on one system only; hope-based </w:t>
            </w:r>
            <w:proofErr w:type="spellStart"/>
            <w:r>
              <w:rPr>
                <w:color w:val="000000"/>
                <w:sz w:val="20"/>
                <w:szCs w:val="20"/>
              </w:rPr>
              <w:t>watchkeeping</w:t>
            </w:r>
            <w:proofErr w:type="spellEnd"/>
          </w:p>
        </w:tc>
      </w:tr>
      <w:tr w:rsidR="00EA406B" w14:paraId="04B14915" w14:textId="77777777">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675B6A5C" w14:textId="77777777" w:rsidR="00EA406B" w:rsidRDefault="00EA406B">
            <w:pPr>
              <w:pStyle w:val="NormalWeb"/>
              <w:spacing w:before="0" w:beforeAutospacing="0" w:after="0" w:afterAutospacing="0"/>
              <w:jc w:val="center"/>
            </w:pPr>
            <w:r>
              <w:rPr>
                <w:b/>
                <w:bCs/>
                <w:color w:val="000000"/>
                <w:sz w:val="20"/>
                <w:szCs w:val="20"/>
              </w:rPr>
              <w:t>7(b)</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390C2F4D" w14:textId="77777777" w:rsidR="00EA406B" w:rsidRDefault="00EA406B">
            <w:pPr>
              <w:pStyle w:val="NormalWeb"/>
              <w:spacing w:before="0" w:beforeAutospacing="0" w:after="0" w:afterAutospacing="0"/>
            </w:pPr>
            <w:r>
              <w:rPr>
                <w:color w:val="000000"/>
                <w:sz w:val="20"/>
                <w:szCs w:val="20"/>
              </w:rPr>
              <w:t>Proper radar use including plotting / systematic observation</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237F7BAF" w14:textId="77777777" w:rsidR="00EA406B" w:rsidRDefault="00EA406B">
            <w:pPr>
              <w:pStyle w:val="NormalWeb"/>
              <w:spacing w:before="0" w:beforeAutospacing="0" w:after="0" w:afterAutospacing="0"/>
            </w:pPr>
            <w:r>
              <w:rPr>
                <w:color w:val="000000"/>
                <w:sz w:val="20"/>
                <w:szCs w:val="20"/>
              </w:rPr>
              <w:t>Correct range scale; gain/clutter control; long-range scan; ARPA tracking</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6CB8B2D3" w14:textId="77777777" w:rsidR="00EA406B" w:rsidRDefault="00EA406B">
            <w:pPr>
              <w:pStyle w:val="NormalWeb"/>
              <w:spacing w:before="0" w:beforeAutospacing="0" w:after="0" w:afterAutospacing="0"/>
            </w:pPr>
            <w:r>
              <w:rPr>
                <w:color w:val="000000"/>
                <w:sz w:val="20"/>
                <w:szCs w:val="20"/>
              </w:rPr>
              <w:t>Radar on wrong range; targets not acquired; ARPA not checked</w:t>
            </w:r>
          </w:p>
        </w:tc>
      </w:tr>
      <w:tr w:rsidR="00EA406B" w14:paraId="600A0478" w14:textId="77777777">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204D6AD8" w14:textId="77777777" w:rsidR="00EA406B" w:rsidRDefault="00EA406B">
            <w:pPr>
              <w:pStyle w:val="NormalWeb"/>
              <w:spacing w:before="0" w:beforeAutospacing="0" w:after="0" w:afterAutospacing="0"/>
              <w:jc w:val="center"/>
            </w:pPr>
            <w:r>
              <w:rPr>
                <w:b/>
                <w:bCs/>
                <w:color w:val="000000"/>
                <w:sz w:val="20"/>
                <w:szCs w:val="20"/>
              </w:rPr>
              <w:t>7(c)</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5508AD7E" w14:textId="77777777" w:rsidR="00EA406B" w:rsidRDefault="00EA406B">
            <w:pPr>
              <w:pStyle w:val="NormalWeb"/>
              <w:spacing w:before="0" w:beforeAutospacing="0" w:after="0" w:afterAutospacing="0"/>
            </w:pPr>
            <w:r>
              <w:rPr>
                <w:color w:val="000000"/>
                <w:sz w:val="20"/>
                <w:szCs w:val="20"/>
              </w:rPr>
              <w:t>No assumptions on scanty information</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48F4B07C" w14:textId="77777777" w:rsidR="00EA406B" w:rsidRDefault="00EA406B">
            <w:pPr>
              <w:pStyle w:val="NormalWeb"/>
              <w:spacing w:before="0" w:beforeAutospacing="0" w:after="0" w:afterAutospacing="0"/>
            </w:pPr>
            <w:r>
              <w:rPr>
                <w:color w:val="000000"/>
                <w:sz w:val="20"/>
                <w:szCs w:val="20"/>
              </w:rPr>
              <w:t>Minimum 3 observations before concluding no risk</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6E236C98" w14:textId="77777777" w:rsidR="00EA406B" w:rsidRDefault="00EA406B">
            <w:pPr>
              <w:pStyle w:val="NormalWeb"/>
              <w:spacing w:before="0" w:beforeAutospacing="0" w:after="0" w:afterAutospacing="0"/>
            </w:pPr>
            <w:r>
              <w:rPr>
                <w:color w:val="000000"/>
                <w:sz w:val="20"/>
                <w:szCs w:val="20"/>
              </w:rPr>
              <w:t>Concluding 'no risk' after 1–2 radar observations</w:t>
            </w:r>
          </w:p>
        </w:tc>
      </w:tr>
      <w:tr w:rsidR="00EA406B" w14:paraId="5CC4F00C" w14:textId="77777777">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7B5A562B" w14:textId="77777777" w:rsidR="00EA406B" w:rsidRDefault="00EA406B">
            <w:pPr>
              <w:pStyle w:val="NormalWeb"/>
              <w:spacing w:before="0" w:beforeAutospacing="0" w:after="0" w:afterAutospacing="0"/>
              <w:jc w:val="center"/>
            </w:pPr>
            <w:r>
              <w:rPr>
                <w:b/>
                <w:bCs/>
                <w:color w:val="000000"/>
                <w:sz w:val="20"/>
                <w:szCs w:val="20"/>
              </w:rPr>
              <w:t>7(d)(</w:t>
            </w:r>
            <w:proofErr w:type="spellStart"/>
            <w:r>
              <w:rPr>
                <w:b/>
                <w:bCs/>
                <w:color w:val="000000"/>
                <w:sz w:val="20"/>
                <w:szCs w:val="20"/>
              </w:rPr>
              <w:t>i</w:t>
            </w:r>
            <w:proofErr w:type="spellEnd"/>
            <w:r>
              <w:rPr>
                <w:b/>
                <w:bCs/>
                <w:color w:val="000000"/>
                <w:sz w:val="20"/>
                <w:szCs w:val="20"/>
              </w:rPr>
              <w:t>)</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53A8A303" w14:textId="77777777" w:rsidR="00EA406B" w:rsidRDefault="00EA406B">
            <w:pPr>
              <w:pStyle w:val="NormalWeb"/>
              <w:spacing w:before="0" w:beforeAutospacing="0" w:after="0" w:afterAutospacing="0"/>
            </w:pPr>
            <w:r>
              <w:rPr>
                <w:color w:val="000000"/>
                <w:sz w:val="20"/>
                <w:szCs w:val="20"/>
              </w:rPr>
              <w:t>Steady compass bearing = risk of collision</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07827971" w14:textId="77777777" w:rsidR="00EA406B" w:rsidRDefault="00EA406B">
            <w:pPr>
              <w:pStyle w:val="NormalWeb"/>
              <w:spacing w:before="0" w:beforeAutospacing="0" w:after="0" w:afterAutospacing="0"/>
            </w:pPr>
            <w:r>
              <w:rPr>
                <w:color w:val="000000"/>
                <w:sz w:val="20"/>
                <w:szCs w:val="20"/>
              </w:rPr>
              <w:t>Monitor bearing trend continuously; require appreciable change</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3379A53D" w14:textId="77777777" w:rsidR="00EA406B" w:rsidRDefault="00EA406B">
            <w:pPr>
              <w:pStyle w:val="NormalWeb"/>
              <w:spacing w:before="0" w:beforeAutospacing="0" w:after="0" w:afterAutospacing="0"/>
            </w:pPr>
            <w:r>
              <w:rPr>
                <w:color w:val="000000"/>
                <w:sz w:val="20"/>
                <w:szCs w:val="20"/>
              </w:rPr>
              <w:t>Ignoring slow bearing change as 'good enough'</w:t>
            </w:r>
          </w:p>
        </w:tc>
      </w:tr>
      <w:tr w:rsidR="00EA406B" w14:paraId="46C8E0B2" w14:textId="77777777">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0A39E2DD" w14:textId="77777777" w:rsidR="00EA406B" w:rsidRDefault="00EA406B">
            <w:pPr>
              <w:pStyle w:val="NormalWeb"/>
              <w:spacing w:before="0" w:beforeAutospacing="0" w:after="0" w:afterAutospacing="0"/>
              <w:jc w:val="center"/>
            </w:pPr>
            <w:r>
              <w:rPr>
                <w:b/>
                <w:bCs/>
                <w:color w:val="000000"/>
                <w:sz w:val="20"/>
                <w:szCs w:val="20"/>
              </w:rPr>
              <w:t>7(d)(ii)</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69C0FE57" w14:textId="77777777" w:rsidR="00EA406B" w:rsidRDefault="00EA406B">
            <w:pPr>
              <w:pStyle w:val="NormalWeb"/>
              <w:spacing w:before="0" w:beforeAutospacing="0" w:after="0" w:afterAutospacing="0"/>
            </w:pPr>
            <w:r>
              <w:rPr>
                <w:color w:val="000000"/>
                <w:sz w:val="20"/>
                <w:szCs w:val="20"/>
              </w:rPr>
              <w:t>Bearing change may not eliminate risk (large vessels / tows)</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2BEA4971" w14:textId="77777777" w:rsidR="00EA406B" w:rsidRDefault="00EA406B">
            <w:pPr>
              <w:pStyle w:val="NormalWeb"/>
              <w:spacing w:before="0" w:beforeAutospacing="0" w:after="0" w:afterAutospacing="0"/>
            </w:pPr>
            <w:r>
              <w:rPr>
                <w:color w:val="000000"/>
                <w:sz w:val="20"/>
                <w:szCs w:val="20"/>
              </w:rPr>
              <w:t>CPA to hull of vessel; account for tow length; close range caution</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561034DD" w14:textId="77777777" w:rsidR="00EA406B" w:rsidRDefault="00EA406B">
            <w:pPr>
              <w:pStyle w:val="NormalWeb"/>
              <w:spacing w:before="0" w:beforeAutospacing="0" w:after="0" w:afterAutospacing="0"/>
            </w:pPr>
            <w:r>
              <w:rPr>
                <w:color w:val="000000"/>
                <w:sz w:val="20"/>
                <w:szCs w:val="20"/>
              </w:rPr>
              <w:t>Measuring bearing to bridge only; ignoring tow extent</w:t>
            </w:r>
          </w:p>
        </w:tc>
      </w:tr>
    </w:tbl>
    <w:p w14:paraId="2360E169" w14:textId="77777777" w:rsidR="00EA406B" w:rsidRDefault="00EA406B">
      <w:pPr>
        <w:rPr>
          <w:rFonts w:eastAsia="Times New Roman"/>
        </w:rPr>
      </w:pPr>
    </w:p>
    <w:p w14:paraId="56B43D54" w14:textId="77777777" w:rsidR="00EA406B" w:rsidRDefault="00EA406B">
      <w:pPr>
        <w:pStyle w:val="Heading2"/>
        <w:spacing w:before="300" w:after="160"/>
        <w:rPr>
          <w:rFonts w:eastAsia="Times New Roman"/>
        </w:rPr>
      </w:pPr>
      <w:r>
        <w:rPr>
          <w:rFonts w:eastAsia="Times New Roman"/>
          <w:color w:val="2E74B5"/>
          <w:sz w:val="24"/>
          <w:szCs w:val="24"/>
        </w:rPr>
        <w:t>3.6 Rule 7 and the Broader COLREG Framework</w:t>
      </w:r>
    </w:p>
    <w:p w14:paraId="5BA1A498" w14:textId="77777777" w:rsidR="00EA406B" w:rsidRDefault="00EA406B">
      <w:pPr>
        <w:pStyle w:val="NormalWeb"/>
        <w:spacing w:before="0" w:beforeAutospacing="0" w:after="160" w:afterAutospacing="0"/>
        <w:ind w:firstLine="720"/>
        <w:jc w:val="both"/>
      </w:pPr>
      <w:r>
        <w:rPr>
          <w:color w:val="000000"/>
        </w:rPr>
        <w:t xml:space="preserve">Rule 7 does not operate in isolation. It sits within a logical progression of COLREG rules that together define the complete collision avoidance discipline. Rule 5 establishes the duty of proper lookout by all available means — the predicate condition that must be met before Rule 7 </w:t>
      </w:r>
      <w:r>
        <w:rPr>
          <w:color w:val="000000"/>
        </w:rPr>
        <w:lastRenderedPageBreak/>
        <w:t>can even be applied. Rule 6 requires safe speed, ensuring that the vessel can stop within the distance of visibility. Rule 7 provides the diagnostic framework for determining whether risk exists. Rule 8 specifies the character of the action to be taken when risk is confirmed — early, large, readily apparent, and effective. Rules 13 to 15 then specify which vessel has the duty to give way and which must keep its course and speed in the three basic encounter geometries (overtaking, head-on, crossing).</w:t>
      </w:r>
    </w:p>
    <w:p w14:paraId="63343654" w14:textId="77777777" w:rsidR="00EA406B" w:rsidRDefault="00EA406B">
      <w:pPr>
        <w:pStyle w:val="NormalWeb"/>
        <w:spacing w:before="0" w:beforeAutospacing="0" w:after="160" w:afterAutospacing="0"/>
        <w:ind w:firstLine="720"/>
        <w:jc w:val="both"/>
      </w:pPr>
      <w:r>
        <w:rPr>
          <w:color w:val="000000"/>
        </w:rPr>
        <w:t xml:space="preserve">A failure to comply with Rule 7 is invariably cited in maritime collision investigations and court proceedings as a fundamental breach of the Regulations. Judicial decisions in collision cases across English, Nigerian, and IMO-mediated jurisdictions consistently hold that a </w:t>
      </w:r>
      <w:proofErr w:type="spellStart"/>
      <w:r>
        <w:rPr>
          <w:color w:val="000000"/>
        </w:rPr>
        <w:t>watchkeeping</w:t>
      </w:r>
      <w:proofErr w:type="spellEnd"/>
      <w:r>
        <w:rPr>
          <w:color w:val="000000"/>
        </w:rPr>
        <w:t xml:space="preserve"> officer who was not making proper use of the radar, or who was making assumptions on scanty information, bears fault for the resulting collision regardless of what the other vessel was doing. The standard of Rule 7 is therefore not merely an abstract regulatory requirement — it is the daily professional and legal obligation of every officer serving a navigational watch (Cockcroft &amp; </w:t>
      </w:r>
      <w:proofErr w:type="spellStart"/>
      <w:r>
        <w:rPr>
          <w:color w:val="000000"/>
        </w:rPr>
        <w:t>Lameijer</w:t>
      </w:r>
      <w:proofErr w:type="spellEnd"/>
      <w:r>
        <w:rPr>
          <w:color w:val="000000"/>
        </w:rPr>
        <w:t>, 2018).</w:t>
      </w:r>
    </w:p>
    <w:p w14:paraId="63DAC406" w14:textId="77777777" w:rsidR="00667336" w:rsidRDefault="00667336">
      <w:pPr>
        <w:pStyle w:val="NormalWeb"/>
        <w:spacing w:before="240" w:beforeAutospacing="0" w:after="80" w:afterAutospacing="0"/>
        <w:jc w:val="center"/>
        <w:rPr>
          <w:b/>
          <w:bCs/>
          <w:smallCaps/>
          <w:color w:val="1F4E79"/>
          <w:sz w:val="30"/>
          <w:szCs w:val="30"/>
        </w:rPr>
      </w:pPr>
    </w:p>
    <w:p w14:paraId="1EDED72C" w14:textId="77777777" w:rsidR="00667336" w:rsidRDefault="00667336">
      <w:pPr>
        <w:pStyle w:val="NormalWeb"/>
        <w:spacing w:before="240" w:beforeAutospacing="0" w:after="80" w:afterAutospacing="0"/>
        <w:jc w:val="center"/>
        <w:rPr>
          <w:b/>
          <w:bCs/>
          <w:smallCaps/>
          <w:color w:val="1F4E79"/>
          <w:sz w:val="30"/>
          <w:szCs w:val="30"/>
        </w:rPr>
      </w:pPr>
    </w:p>
    <w:p w14:paraId="7B2AD50F" w14:textId="77777777" w:rsidR="00667336" w:rsidRDefault="00667336">
      <w:pPr>
        <w:pStyle w:val="NormalWeb"/>
        <w:spacing w:before="240" w:beforeAutospacing="0" w:after="80" w:afterAutospacing="0"/>
        <w:jc w:val="center"/>
        <w:rPr>
          <w:b/>
          <w:bCs/>
          <w:smallCaps/>
          <w:color w:val="1F4E79"/>
          <w:sz w:val="30"/>
          <w:szCs w:val="30"/>
        </w:rPr>
      </w:pPr>
    </w:p>
    <w:p w14:paraId="65152FEC" w14:textId="65F17538" w:rsidR="00EA406B" w:rsidRDefault="00EA406B">
      <w:pPr>
        <w:pStyle w:val="NormalWeb"/>
        <w:spacing w:before="240" w:beforeAutospacing="0" w:after="80" w:afterAutospacing="0"/>
        <w:jc w:val="center"/>
      </w:pPr>
      <w:r>
        <w:rPr>
          <w:b/>
          <w:bCs/>
          <w:smallCaps/>
          <w:color w:val="1F4E79"/>
          <w:sz w:val="30"/>
          <w:szCs w:val="30"/>
        </w:rPr>
        <w:t>QUESTION 4</w:t>
      </w:r>
    </w:p>
    <w:p w14:paraId="78DC50CA" w14:textId="77777777" w:rsidR="00EA406B" w:rsidRDefault="00EA406B">
      <w:pPr>
        <w:pStyle w:val="NormalWeb"/>
        <w:spacing w:before="0" w:beforeAutospacing="0" w:after="240" w:afterAutospacing="0"/>
        <w:jc w:val="center"/>
      </w:pPr>
      <w:r>
        <w:rPr>
          <w:b/>
          <w:bCs/>
          <w:color w:val="2E74B5"/>
          <w:sz w:val="26"/>
          <w:szCs w:val="26"/>
        </w:rPr>
        <w:t>Chart Work — Types of Charts Available to a Mariner</w:t>
      </w:r>
    </w:p>
    <w:p w14:paraId="215AF64B" w14:textId="77777777" w:rsidR="00EA406B" w:rsidRDefault="00EA406B">
      <w:pPr>
        <w:pStyle w:val="Heading1"/>
        <w:spacing w:before="400" w:after="200"/>
        <w:rPr>
          <w:rFonts w:eastAsia="Times New Roman"/>
        </w:rPr>
      </w:pPr>
      <w:r>
        <w:rPr>
          <w:rFonts w:eastAsia="Times New Roman"/>
          <w:color w:val="1F4E79"/>
          <w:sz w:val="28"/>
          <w:szCs w:val="28"/>
        </w:rPr>
        <w:t>4. Chart Work and Types of Nautical Charts</w:t>
      </w:r>
    </w:p>
    <w:p w14:paraId="39A7692C" w14:textId="77777777" w:rsidR="00EA406B" w:rsidRDefault="00EA406B">
      <w:pPr>
        <w:pStyle w:val="Heading2"/>
        <w:spacing w:before="300" w:after="160"/>
        <w:rPr>
          <w:rFonts w:eastAsia="Times New Roman"/>
        </w:rPr>
      </w:pPr>
      <w:r>
        <w:rPr>
          <w:rFonts w:eastAsia="Times New Roman"/>
          <w:color w:val="2E74B5"/>
          <w:sz w:val="24"/>
          <w:szCs w:val="24"/>
        </w:rPr>
        <w:t>4.1 The Nature and Purpose of Chart Work</w:t>
      </w:r>
    </w:p>
    <w:p w14:paraId="667A933A" w14:textId="77777777" w:rsidR="00EA406B" w:rsidRDefault="00EA406B">
      <w:pPr>
        <w:pStyle w:val="NormalWeb"/>
        <w:spacing w:before="0" w:beforeAutospacing="0" w:after="160" w:afterAutospacing="0"/>
        <w:ind w:firstLine="720"/>
        <w:jc w:val="both"/>
      </w:pPr>
      <w:r>
        <w:rPr>
          <w:color w:val="000000"/>
        </w:rPr>
        <w:t>Chart work is the practice of planning, executing, and recording a vessel's voyage using nautical charts as the primary spatial reference. It is the oldest formal discipline in professional navigation — predating the compass, the sextant, and the chronometer — and it remains the foundation of safe navigation in the twenty-first century, whether performed on paper charts with a parallel ruler and dividers or on an Electronic Chart Display and Information System (ECDIS) with a trackball and touchscreen. At its core, chart work involves three activities: pre-voyage planning (laying off the intended track, identifying hazards, calculating clearing distances, and noting all relevant chart corrections), in-voyage position monitoring (fixing the vessel's position at regular intervals and comparing it to the intended track), and passage recording (entering fixes and observations in the chart for legal, navigational, and historical purposes) (Bowditch, 2017).</w:t>
      </w:r>
    </w:p>
    <w:p w14:paraId="076EF489" w14:textId="77777777" w:rsidR="00EA406B" w:rsidRDefault="00EA406B">
      <w:pPr>
        <w:pStyle w:val="NormalWeb"/>
        <w:spacing w:before="0" w:beforeAutospacing="0" w:after="160" w:afterAutospacing="0"/>
        <w:ind w:firstLine="720"/>
        <w:jc w:val="both"/>
      </w:pPr>
      <w:r>
        <w:rPr>
          <w:color w:val="000000"/>
        </w:rPr>
        <w:t xml:space="preserve">In coastal navigation, chart work takes on an urgency and precision that is not required in ocean passage-making. When the vessel is 100 miles from the nearest land, a positional error of a mile or two may be of little immediate consequence. When the vessel is approaching a port entrance with a charted shoal at 0.3 miles off the approach axis, a positional error of even 0.1 miles could be catastrophic. The coastal navigator must fix the vessel's position frequently — every three to six minutes in confined or hazard-dense waters — and must maintain a continuous awareness </w:t>
      </w:r>
      <w:r>
        <w:rPr>
          <w:color w:val="000000"/>
        </w:rPr>
        <w:lastRenderedPageBreak/>
        <w:t>of the minimum safe depth under the vessel's keel, the distance to the nearest charted hazard, and the effect of tidal current on the vessel's track. All of this depends on accurate, current, and properly corrected chart data (Admiralty, 2022).</w:t>
      </w:r>
    </w:p>
    <w:p w14:paraId="46A7E4CA" w14:textId="77777777" w:rsidR="00EA406B" w:rsidRDefault="00EA406B">
      <w:pPr>
        <w:pStyle w:val="Heading2"/>
        <w:spacing w:before="300" w:after="160"/>
        <w:rPr>
          <w:rFonts w:eastAsia="Times New Roman"/>
        </w:rPr>
      </w:pPr>
      <w:r>
        <w:rPr>
          <w:rFonts w:eastAsia="Times New Roman"/>
          <w:color w:val="2E74B5"/>
          <w:sz w:val="24"/>
          <w:szCs w:val="24"/>
        </w:rPr>
        <w:t>4.2 Fundamentals of Nautical Charts</w:t>
      </w:r>
    </w:p>
    <w:p w14:paraId="3200FBFD" w14:textId="77777777" w:rsidR="00EA406B" w:rsidRDefault="00EA406B">
      <w:pPr>
        <w:pStyle w:val="NormalWeb"/>
        <w:spacing w:before="0" w:beforeAutospacing="0" w:after="160" w:afterAutospacing="0"/>
        <w:ind w:firstLine="720"/>
        <w:jc w:val="both"/>
      </w:pPr>
      <w:r>
        <w:rPr>
          <w:color w:val="000000"/>
        </w:rPr>
        <w:t xml:space="preserve">A nautical chart is a </w:t>
      </w:r>
      <w:proofErr w:type="spellStart"/>
      <w:r>
        <w:rPr>
          <w:color w:val="000000"/>
        </w:rPr>
        <w:t>specialised</w:t>
      </w:r>
      <w:proofErr w:type="spellEnd"/>
      <w:r>
        <w:rPr>
          <w:color w:val="000000"/>
        </w:rPr>
        <w:t xml:space="preserve"> topographic document designed exclusively for marine navigation. Unlike a general geographic map, a nautical chart provides: water depths (soundings) in </w:t>
      </w:r>
      <w:proofErr w:type="spellStart"/>
      <w:r>
        <w:rPr>
          <w:color w:val="000000"/>
        </w:rPr>
        <w:t>metres</w:t>
      </w:r>
      <w:proofErr w:type="spellEnd"/>
      <w:r>
        <w:rPr>
          <w:color w:val="000000"/>
        </w:rPr>
        <w:t xml:space="preserve"> or fathoms; depth contours (isobaths) connecting points of equal depth; the nature of the seabed (sand, mud, rock, coral — represented by standard abbreviations such as S, M, R, Co); the positions, types, characteristics, and range of all aids to navigation (lighthouses, light vessels, buoys, beacons, </w:t>
      </w:r>
      <w:proofErr w:type="spellStart"/>
      <w:r>
        <w:rPr>
          <w:color w:val="000000"/>
        </w:rPr>
        <w:t>daymarks</w:t>
      </w:r>
      <w:proofErr w:type="spellEnd"/>
      <w:r>
        <w:rPr>
          <w:color w:val="000000"/>
        </w:rPr>
        <w:t>); the extent of restricted areas (anchorages, dredged channels, prohibited areas, military zones, fish farms); magnetic variation and its annual change; the scale bar and geographic grid; tidal information; and notes on projection, datum, and correction history (Admiralty, 2022; Bowditch, 2017).</w:t>
      </w:r>
    </w:p>
    <w:p w14:paraId="6ACFF43F" w14:textId="77777777" w:rsidR="00EA406B" w:rsidRDefault="00EA406B">
      <w:pPr>
        <w:pStyle w:val="NormalWeb"/>
        <w:spacing w:before="0" w:beforeAutospacing="0" w:after="160" w:afterAutospacing="0"/>
        <w:ind w:firstLine="720"/>
        <w:jc w:val="both"/>
      </w:pPr>
      <w:r>
        <w:rPr>
          <w:color w:val="000000"/>
        </w:rPr>
        <w:t xml:space="preserve">The Mercator projection is the standard mathematical system used to represent the curved surface of the Earth on the flat surface of a nautical chart for mid-latitude areas. The Mercator projection is conformal — angles on the chart equal angles on the Earth — which means that a straight line drawn on a Mercator chart represents a path of constant compass bearing (a </w:t>
      </w:r>
      <w:proofErr w:type="spellStart"/>
      <w:r>
        <w:rPr>
          <w:color w:val="000000"/>
        </w:rPr>
        <w:t>rhumb</w:t>
      </w:r>
      <w:proofErr w:type="spellEnd"/>
      <w:r>
        <w:rPr>
          <w:color w:val="000000"/>
        </w:rPr>
        <w:t xml:space="preserve"> line). For a navigator steering a constant course, this is an enormous practical advantage. However, the Mercator projection distorts area at higher latitudes: at 60°N, land areas appear approximately four times larger than they actually are relative to equatorial areas. For polar navigation, the gnomonic or polar stereographic projections are used. All modern ECDIS ENCs use the WGS-84 geodetic datum for position reference, ensuring compatibility with GPS (Bowditch, 2017; UKHO, 2023).</w:t>
      </w:r>
    </w:p>
    <w:p w14:paraId="46D9FED6" w14:textId="08A8C22D" w:rsidR="00EA406B" w:rsidRDefault="00EA406B">
      <w:pPr>
        <w:pStyle w:val="NormalWeb"/>
        <w:spacing w:before="80" w:beforeAutospacing="0" w:after="240" w:afterAutospacing="0"/>
        <w:jc w:val="center"/>
      </w:pPr>
    </w:p>
    <w:p w14:paraId="34122B70" w14:textId="77777777" w:rsidR="00EA406B" w:rsidRDefault="00EA406B">
      <w:pPr>
        <w:pStyle w:val="Heading2"/>
        <w:spacing w:before="300" w:after="160"/>
        <w:rPr>
          <w:rFonts w:eastAsia="Times New Roman"/>
        </w:rPr>
      </w:pPr>
      <w:r>
        <w:rPr>
          <w:rFonts w:eastAsia="Times New Roman"/>
          <w:color w:val="2E74B5"/>
          <w:sz w:val="24"/>
          <w:szCs w:val="24"/>
        </w:rPr>
        <w:t>4.3 Classification of Charts by Scale</w:t>
      </w:r>
    </w:p>
    <w:p w14:paraId="38193D68" w14:textId="77777777" w:rsidR="00EA406B" w:rsidRDefault="00EA406B">
      <w:pPr>
        <w:pStyle w:val="NormalWeb"/>
        <w:spacing w:before="0" w:beforeAutospacing="0" w:after="160" w:afterAutospacing="0"/>
        <w:ind w:firstLine="720"/>
        <w:jc w:val="both"/>
      </w:pPr>
      <w:r>
        <w:rPr>
          <w:color w:val="000000"/>
        </w:rPr>
        <w:t>The most fundamental classification of nautical charts is by scale — the ratio of a distance on the chart to the corresponding distance on the Earth's surface. Understanding scale is essential because it determines both the level of detail shown and the appropriate navigational use of each chart type.</w:t>
      </w:r>
    </w:p>
    <w:p w14:paraId="3B5590D4" w14:textId="77777777" w:rsidR="00EA406B" w:rsidRDefault="00EA406B">
      <w:pPr>
        <w:pStyle w:val="Heading3"/>
        <w:spacing w:before="240" w:after="120"/>
        <w:rPr>
          <w:rFonts w:eastAsia="Times New Roman"/>
        </w:rPr>
      </w:pPr>
      <w:r>
        <w:rPr>
          <w:rFonts w:eastAsia="Times New Roman"/>
          <w:i/>
          <w:iCs/>
          <w:color w:val="2E74B5"/>
          <w:sz w:val="24"/>
          <w:szCs w:val="24"/>
        </w:rPr>
        <w:t>4.3.1 Ocean Charts (Small Scale — 1:3,000,000 and smaller)</w:t>
      </w:r>
    </w:p>
    <w:p w14:paraId="5CA1EAE2" w14:textId="77777777" w:rsidR="00EA406B" w:rsidRDefault="00EA406B">
      <w:pPr>
        <w:pStyle w:val="NormalWeb"/>
        <w:spacing w:before="0" w:beforeAutospacing="0" w:after="160" w:afterAutospacing="0"/>
        <w:ind w:firstLine="720"/>
        <w:jc w:val="both"/>
      </w:pPr>
      <w:r>
        <w:rPr>
          <w:color w:val="000000"/>
        </w:rPr>
        <w:t>Ocean charts, also called world or passage charts, cover the widest geographic areas at the smallest scales. A single sheet may encompass the entire South Atlantic Ocean or the full extent of the Pacific. At these scales, even large ports appear as tiny symbols, river estuaries are represented by simple lines, and offshore hazards closer than several miles to the coast cannot be individually charted. The soundings shown are the deepest depths in each region. Ocean charts are used exclusively for passage planning — selecting the general routing between departure and destination, identifying waypoints and diversion ports, estimating passage times, and identifying the major navigational features (ocean current systems, trade wind limits, ice limits) of the planned route (Bowditch, 2017; Admiralty, 2022).</w:t>
      </w:r>
    </w:p>
    <w:p w14:paraId="4ABCC016" w14:textId="77777777" w:rsidR="00EA406B" w:rsidRDefault="00EA406B">
      <w:pPr>
        <w:pStyle w:val="Heading3"/>
        <w:spacing w:before="240" w:after="120"/>
        <w:rPr>
          <w:rFonts w:eastAsia="Times New Roman"/>
        </w:rPr>
      </w:pPr>
      <w:r>
        <w:rPr>
          <w:rFonts w:eastAsia="Times New Roman"/>
          <w:i/>
          <w:iCs/>
          <w:color w:val="2E74B5"/>
          <w:sz w:val="24"/>
          <w:szCs w:val="24"/>
        </w:rPr>
        <w:lastRenderedPageBreak/>
        <w:t>4.3.2 Coastal Charts (Medium Scale — 1:75,000 to 1:600,000)</w:t>
      </w:r>
    </w:p>
    <w:p w14:paraId="4621D99E" w14:textId="77777777" w:rsidR="00EA406B" w:rsidRDefault="00EA406B">
      <w:pPr>
        <w:pStyle w:val="NormalWeb"/>
        <w:spacing w:before="0" w:beforeAutospacing="0" w:after="160" w:afterAutospacing="0"/>
        <w:ind w:firstLine="720"/>
        <w:jc w:val="both"/>
      </w:pPr>
      <w:r>
        <w:rPr>
          <w:color w:val="000000"/>
        </w:rPr>
        <w:t xml:space="preserve">Coastal charts are the primary navigational reference for vessels conducting passages along a coastline, approaching or departing a major port, or navigating through island groups and archipelagos. At these scales, the chart provides sufficient detail to identify the general configuration of the coast, the positions of major ports and </w:t>
      </w:r>
      <w:proofErr w:type="spellStart"/>
      <w:r>
        <w:rPr>
          <w:color w:val="000000"/>
        </w:rPr>
        <w:t>harbour</w:t>
      </w:r>
      <w:proofErr w:type="spellEnd"/>
      <w:r>
        <w:rPr>
          <w:color w:val="000000"/>
        </w:rPr>
        <w:t xml:space="preserve"> entrances, the locations of offshore shoals, reefs, and wrecks, and the principal aids to navigation including lighthouses, major buoys, and traffic separation schemes. Depth contours are shown at sufficient intervals to allow continuous monitoring of the depth under the keel using the echo sounder. Position-fixing at regular intervals using radar, GNSS, or visual bearings plotted on the coastal chart is the standard </w:t>
      </w:r>
      <w:proofErr w:type="spellStart"/>
      <w:r>
        <w:rPr>
          <w:color w:val="000000"/>
        </w:rPr>
        <w:t>watchkeeping</w:t>
      </w:r>
      <w:proofErr w:type="spellEnd"/>
      <w:r>
        <w:rPr>
          <w:color w:val="000000"/>
        </w:rPr>
        <w:t xml:space="preserve"> practice when the vessel is in these waters (Bowditch, 2017; UKHO, 2023).</w:t>
      </w:r>
    </w:p>
    <w:p w14:paraId="1BA66322" w14:textId="77777777" w:rsidR="00EA406B" w:rsidRDefault="00EA406B">
      <w:pPr>
        <w:pStyle w:val="Heading3"/>
        <w:spacing w:before="240" w:after="120"/>
        <w:rPr>
          <w:rFonts w:eastAsia="Times New Roman"/>
        </w:rPr>
      </w:pPr>
      <w:r>
        <w:rPr>
          <w:rFonts w:eastAsia="Times New Roman"/>
          <w:i/>
          <w:iCs/>
          <w:color w:val="2E74B5"/>
          <w:sz w:val="24"/>
          <w:szCs w:val="24"/>
        </w:rPr>
        <w:t xml:space="preserve">4.3.3 </w:t>
      </w:r>
      <w:proofErr w:type="spellStart"/>
      <w:r>
        <w:rPr>
          <w:rFonts w:eastAsia="Times New Roman"/>
          <w:i/>
          <w:iCs/>
          <w:color w:val="2E74B5"/>
          <w:sz w:val="24"/>
          <w:szCs w:val="24"/>
        </w:rPr>
        <w:t>Harbour</w:t>
      </w:r>
      <w:proofErr w:type="spellEnd"/>
      <w:r>
        <w:rPr>
          <w:rFonts w:eastAsia="Times New Roman"/>
          <w:i/>
          <w:iCs/>
          <w:color w:val="2E74B5"/>
          <w:sz w:val="24"/>
          <w:szCs w:val="24"/>
        </w:rPr>
        <w:t xml:space="preserve"> and Approach Charts (Large Scale — 1:5,000 to 1:75,000)</w:t>
      </w:r>
    </w:p>
    <w:p w14:paraId="5935D5EF" w14:textId="77777777" w:rsidR="00EA406B" w:rsidRDefault="00EA406B">
      <w:pPr>
        <w:pStyle w:val="NormalWeb"/>
        <w:spacing w:before="0" w:beforeAutospacing="0" w:after="160" w:afterAutospacing="0"/>
        <w:ind w:firstLine="720"/>
        <w:jc w:val="both"/>
      </w:pPr>
      <w:proofErr w:type="spellStart"/>
      <w:r>
        <w:rPr>
          <w:color w:val="000000"/>
        </w:rPr>
        <w:t>Harbour</w:t>
      </w:r>
      <w:proofErr w:type="spellEnd"/>
      <w:r>
        <w:rPr>
          <w:color w:val="000000"/>
        </w:rPr>
        <w:t xml:space="preserve"> and approach charts provide the detailed view of port approaches, </w:t>
      </w:r>
      <w:proofErr w:type="spellStart"/>
      <w:r>
        <w:rPr>
          <w:color w:val="000000"/>
        </w:rPr>
        <w:t>harbour</w:t>
      </w:r>
      <w:proofErr w:type="spellEnd"/>
      <w:r>
        <w:rPr>
          <w:color w:val="000000"/>
        </w:rPr>
        <w:t xml:space="preserve"> basins, rivers, and estuaries needed for safe entry and exit operations. Individual berths, jetties, dry docks, mooring buoys, spoil grounds, and underwater obstructions are shown. Soundings are plotted at close intervals, and depth contours clearly define the channel edges and the extent of navigable water. All aids to navigation are shown with full characteristics — light </w:t>
      </w:r>
      <w:proofErr w:type="spellStart"/>
      <w:r>
        <w:rPr>
          <w:color w:val="000000"/>
        </w:rPr>
        <w:t>colour</w:t>
      </w:r>
      <w:proofErr w:type="spellEnd"/>
      <w:r>
        <w:rPr>
          <w:color w:val="000000"/>
        </w:rPr>
        <w:t>, phase, period, range, arc of visibility, and fog signal. Traffic separation schemes, restricted areas, recommended tracks, and pilot boarding positions are delineated. Port communications and VTS contact frequencies are noted in the chart border or in an associated publication (Admiralty, 2022; UKHO, 2023).</w:t>
      </w:r>
    </w:p>
    <w:p w14:paraId="015D0FB7" w14:textId="77777777" w:rsidR="00EA406B" w:rsidRDefault="00EA406B">
      <w:pPr>
        <w:pStyle w:val="NormalWeb"/>
        <w:spacing w:before="0" w:beforeAutospacing="0" w:after="160" w:afterAutospacing="0"/>
        <w:ind w:firstLine="720"/>
        <w:jc w:val="both"/>
      </w:pPr>
      <w:r>
        <w:rPr>
          <w:color w:val="000000"/>
        </w:rPr>
        <w:t xml:space="preserve">In Nigeria, the Nigerian Ports Authority (NPA) produces or commissions large-scale </w:t>
      </w:r>
      <w:proofErr w:type="spellStart"/>
      <w:r>
        <w:rPr>
          <w:color w:val="000000"/>
        </w:rPr>
        <w:t>harbour</w:t>
      </w:r>
      <w:proofErr w:type="spellEnd"/>
      <w:r>
        <w:rPr>
          <w:color w:val="000000"/>
        </w:rPr>
        <w:t xml:space="preserve"> and approach charts for Lagos (</w:t>
      </w:r>
      <w:proofErr w:type="spellStart"/>
      <w:r>
        <w:rPr>
          <w:color w:val="000000"/>
        </w:rPr>
        <w:t>Apapa</w:t>
      </w:r>
      <w:proofErr w:type="spellEnd"/>
      <w:r>
        <w:rPr>
          <w:color w:val="000000"/>
        </w:rPr>
        <w:t xml:space="preserve"> and Tin Can Island), Port Harcourt (Bonny River approach), Warri, </w:t>
      </w:r>
      <w:proofErr w:type="spellStart"/>
      <w:r>
        <w:rPr>
          <w:color w:val="000000"/>
        </w:rPr>
        <w:t>Calabar</w:t>
      </w:r>
      <w:proofErr w:type="spellEnd"/>
      <w:r>
        <w:rPr>
          <w:color w:val="000000"/>
        </w:rPr>
        <w:t xml:space="preserve">, and </w:t>
      </w:r>
      <w:proofErr w:type="spellStart"/>
      <w:r>
        <w:rPr>
          <w:color w:val="000000"/>
        </w:rPr>
        <w:t>Onne</w:t>
      </w:r>
      <w:proofErr w:type="spellEnd"/>
      <w:r>
        <w:rPr>
          <w:color w:val="000000"/>
        </w:rPr>
        <w:t xml:space="preserve"> Port. These charts are essential references for vessels entering Nigerian ports and must be corrected with current Notices to Mariners before use. The UKHO Admiralty chart series also covers all major Nigerian ports, and both the NPA and UKHO chart series should be on board for Nigerian port operations (NIMASA, 2022).</w:t>
      </w:r>
    </w:p>
    <w:p w14:paraId="6A308372" w14:textId="77777777" w:rsidR="00EA406B" w:rsidRDefault="00EA406B">
      <w:pPr>
        <w:pStyle w:val="Heading3"/>
        <w:spacing w:before="240" w:after="120"/>
        <w:rPr>
          <w:rFonts w:eastAsia="Times New Roman"/>
        </w:rPr>
      </w:pPr>
      <w:r>
        <w:rPr>
          <w:rFonts w:eastAsia="Times New Roman"/>
          <w:i/>
          <w:iCs/>
          <w:color w:val="2E74B5"/>
          <w:sz w:val="24"/>
          <w:szCs w:val="24"/>
        </w:rPr>
        <w:t>4.3.4 Berthing and Dock Plans (Very Large Scale — larger than 1:5,000)</w:t>
      </w:r>
    </w:p>
    <w:p w14:paraId="622F8D72" w14:textId="77777777" w:rsidR="00EA406B" w:rsidRDefault="00EA406B">
      <w:pPr>
        <w:pStyle w:val="NormalWeb"/>
        <w:spacing w:before="0" w:beforeAutospacing="0" w:after="160" w:afterAutospacing="0"/>
        <w:ind w:firstLine="720"/>
        <w:jc w:val="both"/>
      </w:pPr>
      <w:r>
        <w:rPr>
          <w:color w:val="000000"/>
        </w:rPr>
        <w:t xml:space="preserve">Berthing plans and dock charts are produced at the very largest scales — sometimes 1:1,000 or larger — showing individual berths, quayside structures, mooring post positions, fender locations, and under-keel clearance alongside berths. They are used by pilots, port captains, and mooring masters during the final stage of a vessel's arrival alongside a berth, when the spatial precision needed to avoid structural damage is measured in </w:t>
      </w:r>
      <w:proofErr w:type="spellStart"/>
      <w:r>
        <w:rPr>
          <w:color w:val="000000"/>
        </w:rPr>
        <w:t>metres</w:t>
      </w:r>
      <w:proofErr w:type="spellEnd"/>
      <w:r>
        <w:rPr>
          <w:color w:val="000000"/>
        </w:rPr>
        <w:t xml:space="preserve"> rather than nautical miles. Berthing plans are typically produced by port authorities or oil terminal operators rather than national hydrographic offices.</w:t>
      </w:r>
    </w:p>
    <w:p w14:paraId="55523C55" w14:textId="77777777" w:rsidR="00EA406B" w:rsidRDefault="00EA406B">
      <w:pPr>
        <w:pStyle w:val="NormalWeb"/>
        <w:spacing w:before="200" w:beforeAutospacing="0" w:after="80" w:afterAutospacing="0"/>
        <w:jc w:val="center"/>
      </w:pPr>
      <w:r>
        <w:rPr>
          <w:b/>
          <w:bCs/>
          <w:color w:val="1F4E79"/>
          <w:sz w:val="20"/>
          <w:szCs w:val="20"/>
        </w:rPr>
        <w:t>Table 5: Summary of Nautical Chart Types — Scale, Purpose, and Application</w:t>
      </w:r>
    </w:p>
    <w:tbl>
      <w:tblPr>
        <w:tblW w:w="0" w:type="auto"/>
        <w:tblCellMar>
          <w:top w:w="15" w:type="dxa"/>
          <w:left w:w="15" w:type="dxa"/>
          <w:bottom w:w="15" w:type="dxa"/>
          <w:right w:w="15" w:type="dxa"/>
        </w:tblCellMar>
        <w:tblLook w:val="04A0" w:firstRow="1" w:lastRow="0" w:firstColumn="1" w:lastColumn="0" w:noHBand="0" w:noVBand="1"/>
      </w:tblPr>
      <w:tblGrid>
        <w:gridCol w:w="1436"/>
        <w:gridCol w:w="1697"/>
        <w:gridCol w:w="1611"/>
        <w:gridCol w:w="2313"/>
        <w:gridCol w:w="2287"/>
      </w:tblGrid>
      <w:tr w:rsidR="00EA406B" w14:paraId="510BEFFD" w14:textId="77777777">
        <w:tc>
          <w:tcPr>
            <w:tcW w:w="0" w:type="auto"/>
            <w:tcBorders>
              <w:top w:val="single" w:sz="6" w:space="0" w:color="2E74B5"/>
              <w:left w:val="single" w:sz="6" w:space="0" w:color="2E74B5"/>
              <w:bottom w:val="single" w:sz="6" w:space="0" w:color="2E74B5"/>
              <w:right w:val="single" w:sz="6" w:space="0" w:color="2E74B5"/>
            </w:tcBorders>
            <w:shd w:val="clear" w:color="auto" w:fill="1F4E79"/>
            <w:tcMar>
              <w:top w:w="80" w:type="dxa"/>
              <w:left w:w="120" w:type="dxa"/>
              <w:bottom w:w="80" w:type="dxa"/>
              <w:right w:w="120" w:type="dxa"/>
            </w:tcMar>
            <w:vAlign w:val="center"/>
            <w:hideMark/>
          </w:tcPr>
          <w:p w14:paraId="4EE174A0" w14:textId="77777777" w:rsidR="00EA406B" w:rsidRDefault="00EA406B">
            <w:pPr>
              <w:pStyle w:val="NormalWeb"/>
              <w:spacing w:before="0" w:beforeAutospacing="0" w:after="0" w:afterAutospacing="0"/>
              <w:jc w:val="center"/>
            </w:pPr>
            <w:r>
              <w:rPr>
                <w:b/>
                <w:bCs/>
                <w:color w:val="FFFFFF"/>
                <w:sz w:val="20"/>
                <w:szCs w:val="20"/>
              </w:rPr>
              <w:t>Chart Type</w:t>
            </w:r>
          </w:p>
        </w:tc>
        <w:tc>
          <w:tcPr>
            <w:tcW w:w="0" w:type="auto"/>
            <w:tcBorders>
              <w:top w:val="single" w:sz="6" w:space="0" w:color="2E74B5"/>
              <w:left w:val="single" w:sz="6" w:space="0" w:color="2E74B5"/>
              <w:bottom w:val="single" w:sz="6" w:space="0" w:color="2E74B5"/>
              <w:right w:val="single" w:sz="6" w:space="0" w:color="2E74B5"/>
            </w:tcBorders>
            <w:shd w:val="clear" w:color="auto" w:fill="1F4E79"/>
            <w:tcMar>
              <w:top w:w="80" w:type="dxa"/>
              <w:left w:w="120" w:type="dxa"/>
              <w:bottom w:w="80" w:type="dxa"/>
              <w:right w:w="120" w:type="dxa"/>
            </w:tcMar>
            <w:vAlign w:val="center"/>
            <w:hideMark/>
          </w:tcPr>
          <w:p w14:paraId="3A43FF9B" w14:textId="77777777" w:rsidR="00EA406B" w:rsidRDefault="00EA406B">
            <w:pPr>
              <w:pStyle w:val="NormalWeb"/>
              <w:spacing w:before="0" w:beforeAutospacing="0" w:after="0" w:afterAutospacing="0"/>
              <w:jc w:val="center"/>
            </w:pPr>
            <w:r>
              <w:rPr>
                <w:b/>
                <w:bCs/>
                <w:color w:val="FFFFFF"/>
                <w:sz w:val="20"/>
                <w:szCs w:val="20"/>
              </w:rPr>
              <w:t>Scale Range</w:t>
            </w:r>
          </w:p>
        </w:tc>
        <w:tc>
          <w:tcPr>
            <w:tcW w:w="0" w:type="auto"/>
            <w:tcBorders>
              <w:top w:val="single" w:sz="6" w:space="0" w:color="2E74B5"/>
              <w:left w:val="single" w:sz="6" w:space="0" w:color="2E74B5"/>
              <w:bottom w:val="single" w:sz="6" w:space="0" w:color="2E74B5"/>
              <w:right w:val="single" w:sz="6" w:space="0" w:color="2E74B5"/>
            </w:tcBorders>
            <w:shd w:val="clear" w:color="auto" w:fill="1F4E79"/>
            <w:tcMar>
              <w:top w:w="80" w:type="dxa"/>
              <w:left w:w="120" w:type="dxa"/>
              <w:bottom w:w="80" w:type="dxa"/>
              <w:right w:w="120" w:type="dxa"/>
            </w:tcMar>
            <w:vAlign w:val="center"/>
            <w:hideMark/>
          </w:tcPr>
          <w:p w14:paraId="5DB1C336" w14:textId="77777777" w:rsidR="00EA406B" w:rsidRDefault="00EA406B">
            <w:pPr>
              <w:pStyle w:val="NormalWeb"/>
              <w:spacing w:before="0" w:beforeAutospacing="0" w:after="0" w:afterAutospacing="0"/>
              <w:jc w:val="center"/>
            </w:pPr>
            <w:r>
              <w:rPr>
                <w:b/>
                <w:bCs/>
                <w:color w:val="FFFFFF"/>
                <w:sz w:val="20"/>
                <w:szCs w:val="20"/>
              </w:rPr>
              <w:t>Coverage Area</w:t>
            </w:r>
          </w:p>
        </w:tc>
        <w:tc>
          <w:tcPr>
            <w:tcW w:w="0" w:type="auto"/>
            <w:tcBorders>
              <w:top w:val="single" w:sz="6" w:space="0" w:color="2E74B5"/>
              <w:left w:val="single" w:sz="6" w:space="0" w:color="2E74B5"/>
              <w:bottom w:val="single" w:sz="6" w:space="0" w:color="2E74B5"/>
              <w:right w:val="single" w:sz="6" w:space="0" w:color="2E74B5"/>
            </w:tcBorders>
            <w:shd w:val="clear" w:color="auto" w:fill="1F4E79"/>
            <w:tcMar>
              <w:top w:w="80" w:type="dxa"/>
              <w:left w:w="120" w:type="dxa"/>
              <w:bottom w:w="80" w:type="dxa"/>
              <w:right w:w="120" w:type="dxa"/>
            </w:tcMar>
            <w:vAlign w:val="center"/>
            <w:hideMark/>
          </w:tcPr>
          <w:p w14:paraId="079AC9A9" w14:textId="77777777" w:rsidR="00EA406B" w:rsidRDefault="00EA406B">
            <w:pPr>
              <w:pStyle w:val="NormalWeb"/>
              <w:spacing w:before="0" w:beforeAutospacing="0" w:after="0" w:afterAutospacing="0"/>
              <w:jc w:val="center"/>
            </w:pPr>
            <w:r>
              <w:rPr>
                <w:b/>
                <w:bCs/>
                <w:color w:val="FFFFFF"/>
                <w:sz w:val="20"/>
                <w:szCs w:val="20"/>
              </w:rPr>
              <w:t>Primary Use</w:t>
            </w:r>
          </w:p>
        </w:tc>
        <w:tc>
          <w:tcPr>
            <w:tcW w:w="0" w:type="auto"/>
            <w:tcBorders>
              <w:top w:val="single" w:sz="6" w:space="0" w:color="2E74B5"/>
              <w:left w:val="single" w:sz="6" w:space="0" w:color="2E74B5"/>
              <w:bottom w:val="single" w:sz="6" w:space="0" w:color="2E74B5"/>
              <w:right w:val="single" w:sz="6" w:space="0" w:color="2E74B5"/>
            </w:tcBorders>
            <w:shd w:val="clear" w:color="auto" w:fill="1F4E79"/>
            <w:tcMar>
              <w:top w:w="80" w:type="dxa"/>
              <w:left w:w="120" w:type="dxa"/>
              <w:bottom w:w="80" w:type="dxa"/>
              <w:right w:w="120" w:type="dxa"/>
            </w:tcMar>
            <w:vAlign w:val="center"/>
            <w:hideMark/>
          </w:tcPr>
          <w:p w14:paraId="5837001B" w14:textId="77777777" w:rsidR="00EA406B" w:rsidRDefault="00EA406B">
            <w:pPr>
              <w:pStyle w:val="NormalWeb"/>
              <w:spacing w:before="0" w:beforeAutospacing="0" w:after="0" w:afterAutospacing="0"/>
              <w:jc w:val="center"/>
            </w:pPr>
            <w:r>
              <w:rPr>
                <w:b/>
                <w:bCs/>
                <w:color w:val="FFFFFF"/>
                <w:sz w:val="20"/>
                <w:szCs w:val="20"/>
              </w:rPr>
              <w:t>Detail Level</w:t>
            </w:r>
          </w:p>
        </w:tc>
      </w:tr>
      <w:tr w:rsidR="00EA406B" w14:paraId="3100EAC6" w14:textId="77777777">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52029121" w14:textId="77777777" w:rsidR="00EA406B" w:rsidRDefault="00EA406B">
            <w:pPr>
              <w:pStyle w:val="NormalWeb"/>
              <w:spacing w:before="0" w:beforeAutospacing="0" w:after="0" w:afterAutospacing="0"/>
            </w:pPr>
            <w:r>
              <w:rPr>
                <w:b/>
                <w:bCs/>
                <w:color w:val="000000"/>
                <w:sz w:val="20"/>
                <w:szCs w:val="20"/>
              </w:rPr>
              <w:t>Ocean / World</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47867F1F" w14:textId="77777777" w:rsidR="00EA406B" w:rsidRDefault="00EA406B">
            <w:pPr>
              <w:pStyle w:val="NormalWeb"/>
              <w:spacing w:before="0" w:beforeAutospacing="0" w:after="0" w:afterAutospacing="0"/>
            </w:pPr>
            <w:r>
              <w:rPr>
                <w:color w:val="000000"/>
                <w:sz w:val="20"/>
                <w:szCs w:val="20"/>
              </w:rPr>
              <w:t>1:3,000,000+</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0DC7A3D4" w14:textId="77777777" w:rsidR="00EA406B" w:rsidRDefault="00EA406B">
            <w:pPr>
              <w:pStyle w:val="NormalWeb"/>
              <w:spacing w:before="0" w:beforeAutospacing="0" w:after="0" w:afterAutospacing="0"/>
            </w:pPr>
            <w:r>
              <w:rPr>
                <w:color w:val="000000"/>
                <w:sz w:val="20"/>
                <w:szCs w:val="20"/>
              </w:rPr>
              <w:t>Oceans / continents</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3EE4AE25" w14:textId="77777777" w:rsidR="00EA406B" w:rsidRDefault="00EA406B">
            <w:pPr>
              <w:pStyle w:val="NormalWeb"/>
              <w:spacing w:before="0" w:beforeAutospacing="0" w:after="0" w:afterAutospacing="0"/>
            </w:pPr>
            <w:r>
              <w:rPr>
                <w:color w:val="000000"/>
                <w:sz w:val="20"/>
                <w:szCs w:val="20"/>
              </w:rPr>
              <w:t>Passage planning; routing; meteorological data</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65F988C5" w14:textId="77777777" w:rsidR="00EA406B" w:rsidRDefault="00EA406B">
            <w:pPr>
              <w:pStyle w:val="NormalWeb"/>
              <w:spacing w:before="0" w:beforeAutospacing="0" w:after="0" w:afterAutospacing="0"/>
            </w:pPr>
            <w:r>
              <w:rPr>
                <w:color w:val="000000"/>
                <w:sz w:val="20"/>
                <w:szCs w:val="20"/>
              </w:rPr>
              <w:t>Minimal — major hazards only</w:t>
            </w:r>
          </w:p>
        </w:tc>
      </w:tr>
      <w:tr w:rsidR="00EA406B" w14:paraId="01A7C29B" w14:textId="77777777">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0B3B756A" w14:textId="77777777" w:rsidR="00EA406B" w:rsidRDefault="00EA406B">
            <w:pPr>
              <w:pStyle w:val="NormalWeb"/>
              <w:spacing w:before="0" w:beforeAutospacing="0" w:after="0" w:afterAutospacing="0"/>
            </w:pPr>
            <w:r>
              <w:rPr>
                <w:b/>
                <w:bCs/>
                <w:color w:val="000000"/>
                <w:sz w:val="20"/>
                <w:szCs w:val="20"/>
              </w:rPr>
              <w:lastRenderedPageBreak/>
              <w:t>Coastal</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031421ED" w14:textId="77777777" w:rsidR="00EA406B" w:rsidRDefault="00EA406B">
            <w:pPr>
              <w:pStyle w:val="NormalWeb"/>
              <w:spacing w:before="0" w:beforeAutospacing="0" w:after="0" w:afterAutospacing="0"/>
            </w:pPr>
            <w:r>
              <w:rPr>
                <w:color w:val="000000"/>
                <w:sz w:val="20"/>
                <w:szCs w:val="20"/>
              </w:rPr>
              <w:t>1:75,000–600,000</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36664057" w14:textId="77777777" w:rsidR="00EA406B" w:rsidRDefault="00EA406B">
            <w:pPr>
              <w:pStyle w:val="NormalWeb"/>
              <w:spacing w:before="0" w:beforeAutospacing="0" w:after="0" w:afterAutospacing="0"/>
            </w:pPr>
            <w:r>
              <w:rPr>
                <w:color w:val="000000"/>
                <w:sz w:val="20"/>
                <w:szCs w:val="20"/>
              </w:rPr>
              <w:t>100–500 NM coastline</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0BBF08C7" w14:textId="77777777" w:rsidR="00EA406B" w:rsidRDefault="00EA406B">
            <w:pPr>
              <w:pStyle w:val="NormalWeb"/>
              <w:spacing w:before="0" w:beforeAutospacing="0" w:after="0" w:afterAutospacing="0"/>
            </w:pPr>
            <w:r>
              <w:rPr>
                <w:color w:val="000000"/>
                <w:sz w:val="20"/>
                <w:szCs w:val="20"/>
              </w:rPr>
              <w:t>Coastal passage; port approach planning</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3AC06321" w14:textId="77777777" w:rsidR="00EA406B" w:rsidRDefault="00EA406B">
            <w:pPr>
              <w:pStyle w:val="NormalWeb"/>
              <w:spacing w:before="0" w:beforeAutospacing="0" w:after="0" w:afterAutospacing="0"/>
            </w:pPr>
            <w:r>
              <w:rPr>
                <w:color w:val="000000"/>
                <w:sz w:val="20"/>
                <w:szCs w:val="20"/>
              </w:rPr>
              <w:t>Moderate — offshore hazards; ports; TSS</w:t>
            </w:r>
          </w:p>
        </w:tc>
      </w:tr>
      <w:tr w:rsidR="00EA406B" w14:paraId="14AA958C" w14:textId="77777777">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1BE17114" w14:textId="77777777" w:rsidR="00EA406B" w:rsidRDefault="00EA406B">
            <w:pPr>
              <w:pStyle w:val="NormalWeb"/>
              <w:spacing w:before="0" w:beforeAutospacing="0" w:after="0" w:afterAutospacing="0"/>
            </w:pPr>
            <w:proofErr w:type="spellStart"/>
            <w:r>
              <w:rPr>
                <w:b/>
                <w:bCs/>
                <w:color w:val="000000"/>
                <w:sz w:val="20"/>
                <w:szCs w:val="20"/>
              </w:rPr>
              <w:t>Harbour</w:t>
            </w:r>
            <w:proofErr w:type="spellEnd"/>
            <w:r>
              <w:rPr>
                <w:b/>
                <w:bCs/>
                <w:color w:val="000000"/>
                <w:sz w:val="20"/>
                <w:szCs w:val="20"/>
              </w:rPr>
              <w:t xml:space="preserve"> / Approach</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32BBCBA8" w14:textId="77777777" w:rsidR="00EA406B" w:rsidRDefault="00EA406B">
            <w:pPr>
              <w:pStyle w:val="NormalWeb"/>
              <w:spacing w:before="0" w:beforeAutospacing="0" w:after="0" w:afterAutospacing="0"/>
            </w:pPr>
            <w:r>
              <w:rPr>
                <w:color w:val="000000"/>
                <w:sz w:val="20"/>
                <w:szCs w:val="20"/>
              </w:rPr>
              <w:t>1:5,000–75,000</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6980C4A2" w14:textId="77777777" w:rsidR="00EA406B" w:rsidRDefault="00EA406B">
            <w:pPr>
              <w:pStyle w:val="NormalWeb"/>
              <w:spacing w:before="0" w:beforeAutospacing="0" w:after="0" w:afterAutospacing="0"/>
            </w:pPr>
            <w:r>
              <w:rPr>
                <w:color w:val="000000"/>
                <w:sz w:val="20"/>
                <w:szCs w:val="20"/>
              </w:rPr>
              <w:t>Single port or bay</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0C045FD2" w14:textId="77777777" w:rsidR="00EA406B" w:rsidRDefault="00EA406B">
            <w:pPr>
              <w:pStyle w:val="NormalWeb"/>
              <w:spacing w:before="0" w:beforeAutospacing="0" w:after="0" w:afterAutospacing="0"/>
            </w:pPr>
            <w:r>
              <w:rPr>
                <w:color w:val="000000"/>
                <w:sz w:val="20"/>
                <w:szCs w:val="20"/>
              </w:rPr>
              <w:t>Entry/exit; pilot operations; anchoring</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1EDCB8CF" w14:textId="77777777" w:rsidR="00EA406B" w:rsidRDefault="00EA406B">
            <w:pPr>
              <w:pStyle w:val="NormalWeb"/>
              <w:spacing w:before="0" w:beforeAutospacing="0" w:after="0" w:afterAutospacing="0"/>
            </w:pPr>
            <w:r>
              <w:rPr>
                <w:color w:val="000000"/>
                <w:sz w:val="20"/>
                <w:szCs w:val="20"/>
              </w:rPr>
              <w:t xml:space="preserve">High — berths; channels; all </w:t>
            </w:r>
            <w:proofErr w:type="spellStart"/>
            <w:r>
              <w:rPr>
                <w:color w:val="000000"/>
                <w:sz w:val="20"/>
                <w:szCs w:val="20"/>
              </w:rPr>
              <w:t>AtoN</w:t>
            </w:r>
            <w:proofErr w:type="spellEnd"/>
          </w:p>
        </w:tc>
      </w:tr>
      <w:tr w:rsidR="00EA406B" w14:paraId="0C2D8342" w14:textId="77777777">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6F37E61C" w14:textId="77777777" w:rsidR="00EA406B" w:rsidRDefault="00EA406B">
            <w:pPr>
              <w:pStyle w:val="NormalWeb"/>
              <w:spacing w:before="0" w:beforeAutospacing="0" w:after="0" w:afterAutospacing="0"/>
            </w:pPr>
            <w:r>
              <w:rPr>
                <w:b/>
                <w:bCs/>
                <w:color w:val="000000"/>
                <w:sz w:val="20"/>
                <w:szCs w:val="20"/>
              </w:rPr>
              <w:t>Berthing / Dock Plan</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4E83C099" w14:textId="77777777" w:rsidR="00EA406B" w:rsidRDefault="00EA406B">
            <w:pPr>
              <w:pStyle w:val="NormalWeb"/>
              <w:spacing w:before="0" w:beforeAutospacing="0" w:after="0" w:afterAutospacing="0"/>
            </w:pPr>
            <w:r>
              <w:rPr>
                <w:color w:val="000000"/>
                <w:sz w:val="20"/>
                <w:szCs w:val="20"/>
              </w:rPr>
              <w:t>Larger than 1:5,000</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2F809429" w14:textId="77777777" w:rsidR="00EA406B" w:rsidRDefault="00EA406B">
            <w:pPr>
              <w:pStyle w:val="NormalWeb"/>
              <w:spacing w:before="0" w:beforeAutospacing="0" w:after="0" w:afterAutospacing="0"/>
            </w:pPr>
            <w:r>
              <w:rPr>
                <w:color w:val="000000"/>
                <w:sz w:val="20"/>
                <w:szCs w:val="20"/>
              </w:rPr>
              <w:t>Single terminal or berth</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72C0B5EB" w14:textId="77777777" w:rsidR="00EA406B" w:rsidRDefault="00EA406B">
            <w:pPr>
              <w:pStyle w:val="NormalWeb"/>
              <w:spacing w:before="0" w:beforeAutospacing="0" w:after="0" w:afterAutospacing="0"/>
            </w:pPr>
            <w:r>
              <w:rPr>
                <w:color w:val="000000"/>
                <w:sz w:val="20"/>
                <w:szCs w:val="20"/>
              </w:rPr>
              <w:t>Final approach; mooring; berthing</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660FEE15" w14:textId="77777777" w:rsidR="00EA406B" w:rsidRDefault="00EA406B">
            <w:pPr>
              <w:pStyle w:val="NormalWeb"/>
              <w:spacing w:before="0" w:beforeAutospacing="0" w:after="0" w:afterAutospacing="0"/>
            </w:pPr>
            <w:r>
              <w:rPr>
                <w:color w:val="000000"/>
                <w:sz w:val="20"/>
                <w:szCs w:val="20"/>
              </w:rPr>
              <w:t>Very high — individual berth detail</w:t>
            </w:r>
          </w:p>
        </w:tc>
      </w:tr>
      <w:tr w:rsidR="00EA406B" w14:paraId="69F71D62" w14:textId="77777777">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49113678" w14:textId="77777777" w:rsidR="00EA406B" w:rsidRDefault="00EA406B">
            <w:pPr>
              <w:pStyle w:val="NormalWeb"/>
              <w:spacing w:before="0" w:beforeAutospacing="0" w:after="0" w:afterAutospacing="0"/>
            </w:pPr>
            <w:r>
              <w:rPr>
                <w:b/>
                <w:bCs/>
                <w:color w:val="000000"/>
                <w:sz w:val="20"/>
                <w:szCs w:val="20"/>
              </w:rPr>
              <w:t>Routing / Pilot Chart</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34637BFA" w14:textId="77777777" w:rsidR="00EA406B" w:rsidRDefault="00EA406B">
            <w:pPr>
              <w:pStyle w:val="NormalWeb"/>
              <w:spacing w:before="0" w:beforeAutospacing="0" w:after="0" w:afterAutospacing="0"/>
            </w:pPr>
            <w:r>
              <w:rPr>
                <w:color w:val="000000"/>
                <w:sz w:val="20"/>
                <w:szCs w:val="20"/>
              </w:rPr>
              <w:t>Small (ocean-wide)</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6797EC40" w14:textId="77777777" w:rsidR="00EA406B" w:rsidRDefault="00EA406B">
            <w:pPr>
              <w:pStyle w:val="NormalWeb"/>
              <w:spacing w:before="0" w:beforeAutospacing="0" w:after="0" w:afterAutospacing="0"/>
            </w:pPr>
            <w:r>
              <w:rPr>
                <w:color w:val="000000"/>
                <w:sz w:val="20"/>
                <w:szCs w:val="20"/>
              </w:rPr>
              <w:t>Ocean basins (by month)</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4A4F4990" w14:textId="77777777" w:rsidR="00EA406B" w:rsidRDefault="00EA406B">
            <w:pPr>
              <w:pStyle w:val="NormalWeb"/>
              <w:spacing w:before="0" w:beforeAutospacing="0" w:after="0" w:afterAutospacing="0"/>
            </w:pPr>
            <w:r>
              <w:rPr>
                <w:color w:val="000000"/>
                <w:sz w:val="20"/>
                <w:szCs w:val="20"/>
              </w:rPr>
              <w:t>Optimum route planning; weather routing</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5EC5EBE2" w14:textId="77777777" w:rsidR="00EA406B" w:rsidRDefault="00EA406B">
            <w:pPr>
              <w:pStyle w:val="NormalWeb"/>
              <w:spacing w:before="0" w:beforeAutospacing="0" w:after="0" w:afterAutospacing="0"/>
            </w:pPr>
            <w:r>
              <w:rPr>
                <w:color w:val="000000"/>
                <w:sz w:val="20"/>
                <w:szCs w:val="20"/>
              </w:rPr>
              <w:t>Statistical weather/current data</w:t>
            </w:r>
          </w:p>
        </w:tc>
      </w:tr>
      <w:tr w:rsidR="00EA406B" w14:paraId="17C5A311" w14:textId="77777777">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482F221A" w14:textId="77777777" w:rsidR="00EA406B" w:rsidRDefault="00EA406B">
            <w:pPr>
              <w:pStyle w:val="NormalWeb"/>
              <w:spacing w:before="0" w:beforeAutospacing="0" w:after="0" w:afterAutospacing="0"/>
            </w:pPr>
            <w:r>
              <w:rPr>
                <w:b/>
                <w:bCs/>
                <w:color w:val="000000"/>
                <w:sz w:val="20"/>
                <w:szCs w:val="20"/>
              </w:rPr>
              <w:t>Electronic (ENC)</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533C0FB1" w14:textId="77777777" w:rsidR="00EA406B" w:rsidRDefault="00EA406B">
            <w:pPr>
              <w:pStyle w:val="NormalWeb"/>
              <w:spacing w:before="0" w:beforeAutospacing="0" w:after="0" w:afterAutospacing="0"/>
            </w:pPr>
            <w:r>
              <w:rPr>
                <w:color w:val="000000"/>
                <w:sz w:val="20"/>
                <w:szCs w:val="20"/>
              </w:rPr>
              <w:t>All scales (vector database)</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4232E7BF" w14:textId="77777777" w:rsidR="00EA406B" w:rsidRDefault="00EA406B">
            <w:pPr>
              <w:pStyle w:val="NormalWeb"/>
              <w:spacing w:before="0" w:beforeAutospacing="0" w:after="0" w:afterAutospacing="0"/>
            </w:pPr>
            <w:r>
              <w:rPr>
                <w:color w:val="000000"/>
                <w:sz w:val="20"/>
                <w:szCs w:val="20"/>
              </w:rPr>
              <w:t>Global — cell-based coverage</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35F15A30" w14:textId="77777777" w:rsidR="00EA406B" w:rsidRDefault="00EA406B">
            <w:pPr>
              <w:pStyle w:val="NormalWeb"/>
              <w:spacing w:before="0" w:beforeAutospacing="0" w:after="0" w:afterAutospacing="0"/>
            </w:pPr>
            <w:r>
              <w:rPr>
                <w:color w:val="000000"/>
                <w:sz w:val="20"/>
                <w:szCs w:val="20"/>
              </w:rPr>
              <w:t>ECDIS primary navigation chart</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071DA813" w14:textId="77777777" w:rsidR="00EA406B" w:rsidRDefault="00EA406B">
            <w:pPr>
              <w:pStyle w:val="NormalWeb"/>
              <w:spacing w:before="0" w:beforeAutospacing="0" w:after="0" w:afterAutospacing="0"/>
            </w:pPr>
            <w:r>
              <w:rPr>
                <w:color w:val="000000"/>
                <w:sz w:val="20"/>
                <w:szCs w:val="20"/>
              </w:rPr>
              <w:t>Equivalent to paper; auto-alarm; route check</w:t>
            </w:r>
          </w:p>
        </w:tc>
      </w:tr>
    </w:tbl>
    <w:p w14:paraId="140D8591" w14:textId="77777777" w:rsidR="00EA406B" w:rsidRDefault="00EA406B">
      <w:pPr>
        <w:rPr>
          <w:rFonts w:eastAsia="Times New Roman"/>
        </w:rPr>
      </w:pPr>
    </w:p>
    <w:p w14:paraId="65C9BC9A" w14:textId="77777777" w:rsidR="00EA406B" w:rsidRDefault="00EA406B">
      <w:pPr>
        <w:pStyle w:val="Heading2"/>
        <w:spacing w:before="300" w:after="160"/>
        <w:rPr>
          <w:rFonts w:eastAsia="Times New Roman"/>
        </w:rPr>
      </w:pPr>
      <w:r>
        <w:rPr>
          <w:rFonts w:eastAsia="Times New Roman"/>
          <w:color w:val="2E74B5"/>
          <w:sz w:val="24"/>
          <w:szCs w:val="24"/>
        </w:rPr>
        <w:t>4.4 Electronic Navigational Charts (ENCs) and ECDIS</w:t>
      </w:r>
    </w:p>
    <w:p w14:paraId="0755513E" w14:textId="77777777" w:rsidR="00EA406B" w:rsidRDefault="00EA406B">
      <w:pPr>
        <w:pStyle w:val="NormalWeb"/>
        <w:spacing w:before="0" w:beforeAutospacing="0" w:after="160" w:afterAutospacing="0"/>
        <w:ind w:firstLine="720"/>
        <w:jc w:val="both"/>
      </w:pPr>
      <w:r>
        <w:rPr>
          <w:color w:val="000000"/>
        </w:rPr>
        <w:t>The most transformative development in chart work in the twenty-first century is the mandatory introduction of ECDIS and Electronic Navigational Charts. ECDIS was made mandatory for most SOLAS vessels in a phased schedule from 2012 to 2018, with new vessels required to carry ECDIS in lieu of paper charts. The ENC is not a scanned image of a paper chart — it is a structured vector database of hydrographic and geographic objects, each with georeferenced positions and associated attributes, produced to the IHO S-57 specification (and progressively migrating to the newer S-100 framework) (UKHO, 2023; IMO, 2019).</w:t>
      </w:r>
    </w:p>
    <w:p w14:paraId="6F1A5D36" w14:textId="77777777" w:rsidR="00EA406B" w:rsidRDefault="00EA406B">
      <w:pPr>
        <w:pStyle w:val="NormalWeb"/>
        <w:spacing w:before="0" w:beforeAutospacing="0" w:after="160" w:afterAutospacing="0"/>
        <w:ind w:firstLine="720"/>
        <w:jc w:val="both"/>
      </w:pPr>
      <w:r>
        <w:rPr>
          <w:color w:val="000000"/>
        </w:rPr>
        <w:t xml:space="preserve">ECDIS interrogates the ENC database continuously against the vessel's GNSS position, generating automatic alarms when the vessel's predicted track crosses a safety contour, when the depth under the keel approaches the set safety depth, or when the planned route passes over a charted hazard. The navigator can set a safety depth, a safety contour, and a look-ahead distance, and the system will highlight all charted hazards shallower than the safety depth in a contrasting </w:t>
      </w:r>
      <w:proofErr w:type="spellStart"/>
      <w:r>
        <w:rPr>
          <w:color w:val="000000"/>
        </w:rPr>
        <w:t>colour</w:t>
      </w:r>
      <w:proofErr w:type="spellEnd"/>
      <w:r>
        <w:rPr>
          <w:color w:val="000000"/>
        </w:rPr>
        <w:t xml:space="preserve"> and trigger alarms proactively. ENC updates are delivered incrementally through the AVCS (Admiralty Vector Chart Service) or equivalent services, automatically and precisely — a new wreck position or changed buoy characteristic is applied to every affected ENC cell simultaneously (UKHO, 2023).</w:t>
      </w:r>
    </w:p>
    <w:p w14:paraId="6176C877" w14:textId="77777777" w:rsidR="00EA406B" w:rsidRDefault="00EA406B">
      <w:pPr>
        <w:pStyle w:val="NormalWeb"/>
        <w:spacing w:before="0" w:beforeAutospacing="0" w:after="160" w:afterAutospacing="0"/>
        <w:ind w:firstLine="720"/>
        <w:jc w:val="both"/>
      </w:pPr>
      <w:r>
        <w:rPr>
          <w:color w:val="000000"/>
        </w:rPr>
        <w:t xml:space="preserve">Notwithstanding its enormous advantages, ECDIS introduces new navigational risks. Several well-documented groundings in the 2010s and 2020s occurred because the OOW was relying entirely on the ECDIS display without maintaining sufficient spatial awareness of the vessel's actual position relative to the charted hazards. ECDIS-related groundings are typically </w:t>
      </w:r>
      <w:proofErr w:type="spellStart"/>
      <w:r>
        <w:rPr>
          <w:color w:val="000000"/>
        </w:rPr>
        <w:t>characterised</w:t>
      </w:r>
      <w:proofErr w:type="spellEnd"/>
      <w:r>
        <w:rPr>
          <w:color w:val="000000"/>
        </w:rPr>
        <w:t xml:space="preserve"> by misapplication of the safety contour setting, failure to load or apply ENC updates, incorrect datum shift between the ENC and the GNSS position, or simple confusion of the display scale. The navigator must understand not just how to operate the ECDIS but what its limitations are, where the ENC data quality is uncertain, and when a paper chart backup should be consulted (Admiralty, 2022; Bowditch, 2017).</w:t>
      </w:r>
    </w:p>
    <w:p w14:paraId="24F573FE" w14:textId="77777777" w:rsidR="00EA406B" w:rsidRDefault="00EA406B">
      <w:pPr>
        <w:pStyle w:val="Heading2"/>
        <w:spacing w:before="300" w:after="160"/>
        <w:rPr>
          <w:rFonts w:eastAsia="Times New Roman"/>
        </w:rPr>
      </w:pPr>
      <w:r>
        <w:rPr>
          <w:rFonts w:eastAsia="Times New Roman"/>
          <w:color w:val="2E74B5"/>
          <w:sz w:val="24"/>
          <w:szCs w:val="24"/>
        </w:rPr>
        <w:t>4.5 Chart Correction and Notice to Mariners</w:t>
      </w:r>
    </w:p>
    <w:p w14:paraId="776FAD4A" w14:textId="77777777" w:rsidR="00EA406B" w:rsidRDefault="00EA406B">
      <w:pPr>
        <w:pStyle w:val="NormalWeb"/>
        <w:spacing w:before="0" w:beforeAutospacing="0" w:after="160" w:afterAutospacing="0"/>
        <w:ind w:firstLine="720"/>
        <w:jc w:val="both"/>
        <w:rPr>
          <w:color w:val="000000"/>
        </w:rPr>
      </w:pPr>
      <w:r>
        <w:rPr>
          <w:color w:val="000000"/>
        </w:rPr>
        <w:t xml:space="preserve">Whether working with paper charts or ENCs, a navigator working from uncorrected chart data is working from an unreliable document. Paper charts must be corrected by hand using the </w:t>
      </w:r>
      <w:r>
        <w:rPr>
          <w:color w:val="000000"/>
        </w:rPr>
        <w:lastRenderedPageBreak/>
        <w:t>weekly Notices to Mariners (</w:t>
      </w:r>
      <w:proofErr w:type="spellStart"/>
      <w:r>
        <w:rPr>
          <w:color w:val="000000"/>
        </w:rPr>
        <w:t>NtM</w:t>
      </w:r>
      <w:proofErr w:type="spellEnd"/>
      <w:r>
        <w:rPr>
          <w:color w:val="000000"/>
        </w:rPr>
        <w:t xml:space="preserve">) issued by national hydrographic offices — the UKHO's Admiralty </w:t>
      </w:r>
      <w:proofErr w:type="spellStart"/>
      <w:r>
        <w:rPr>
          <w:color w:val="000000"/>
        </w:rPr>
        <w:t>NtM</w:t>
      </w:r>
      <w:proofErr w:type="spellEnd"/>
      <w:r>
        <w:rPr>
          <w:color w:val="000000"/>
        </w:rPr>
        <w:t xml:space="preserve">, the NPA's Nigerian </w:t>
      </w:r>
      <w:proofErr w:type="spellStart"/>
      <w:r>
        <w:rPr>
          <w:color w:val="000000"/>
        </w:rPr>
        <w:t>NtM</w:t>
      </w:r>
      <w:proofErr w:type="spellEnd"/>
      <w:r>
        <w:rPr>
          <w:color w:val="000000"/>
        </w:rPr>
        <w:t xml:space="preserve">, and the relevant national </w:t>
      </w:r>
      <w:proofErr w:type="spellStart"/>
      <w:r>
        <w:rPr>
          <w:color w:val="000000"/>
        </w:rPr>
        <w:t>NtM</w:t>
      </w:r>
      <w:proofErr w:type="spellEnd"/>
      <w:r>
        <w:rPr>
          <w:color w:val="000000"/>
        </w:rPr>
        <w:t xml:space="preserve"> for the flag state. Each </w:t>
      </w:r>
      <w:proofErr w:type="spellStart"/>
      <w:r>
        <w:rPr>
          <w:color w:val="000000"/>
        </w:rPr>
        <w:t>NtM</w:t>
      </w:r>
      <w:proofErr w:type="spellEnd"/>
      <w:r>
        <w:rPr>
          <w:color w:val="000000"/>
        </w:rPr>
        <w:t xml:space="preserve"> correction specifies exactly which chart is affected, what the correction is, and how it is to be applied — typically by drawing a small ink correction or by affixing a sticky correction label. The chart's correction record, maintained in the chart folio log, provides evidence that corrections have been applied (Admiralty, 2022). ENCs maintained through AVCS or equivalent are updated automatically and do not require manual correction, but the navigator must ensure that the update service subscription is current and that updates have been downloaded and applied before each voyage.</w:t>
      </w:r>
    </w:p>
    <w:p w14:paraId="70EC23D9" w14:textId="77777777" w:rsidR="00667336" w:rsidRDefault="00667336">
      <w:pPr>
        <w:pStyle w:val="NormalWeb"/>
        <w:spacing w:before="0" w:beforeAutospacing="0" w:after="160" w:afterAutospacing="0"/>
        <w:ind w:firstLine="720"/>
        <w:jc w:val="both"/>
        <w:rPr>
          <w:color w:val="000000"/>
        </w:rPr>
      </w:pPr>
    </w:p>
    <w:p w14:paraId="55FBF4D1" w14:textId="77777777" w:rsidR="00667336" w:rsidRDefault="00667336">
      <w:pPr>
        <w:pStyle w:val="NormalWeb"/>
        <w:spacing w:before="0" w:beforeAutospacing="0" w:after="160" w:afterAutospacing="0"/>
        <w:ind w:firstLine="720"/>
        <w:jc w:val="both"/>
      </w:pPr>
    </w:p>
    <w:p w14:paraId="1257DDCE" w14:textId="77777777" w:rsidR="00EA406B" w:rsidRDefault="00EA406B">
      <w:pPr>
        <w:pStyle w:val="NormalWeb"/>
        <w:spacing w:before="240" w:beforeAutospacing="0" w:after="80" w:afterAutospacing="0"/>
        <w:jc w:val="center"/>
      </w:pPr>
      <w:r>
        <w:rPr>
          <w:b/>
          <w:bCs/>
          <w:smallCaps/>
          <w:color w:val="1F4E79"/>
          <w:sz w:val="30"/>
          <w:szCs w:val="30"/>
        </w:rPr>
        <w:t>QUESTION 5</w:t>
      </w:r>
    </w:p>
    <w:p w14:paraId="4FE4ED4B" w14:textId="77777777" w:rsidR="00EA406B" w:rsidRDefault="00EA406B">
      <w:pPr>
        <w:pStyle w:val="NormalWeb"/>
        <w:spacing w:before="0" w:beforeAutospacing="0" w:after="240" w:afterAutospacing="0"/>
        <w:jc w:val="center"/>
      </w:pPr>
      <w:r>
        <w:rPr>
          <w:b/>
          <w:bCs/>
          <w:color w:val="2E74B5"/>
          <w:sz w:val="26"/>
          <w:szCs w:val="26"/>
        </w:rPr>
        <w:t xml:space="preserve">The </w:t>
      </w:r>
      <w:proofErr w:type="spellStart"/>
      <w:r>
        <w:rPr>
          <w:b/>
          <w:bCs/>
          <w:color w:val="2E74B5"/>
          <w:sz w:val="26"/>
          <w:szCs w:val="26"/>
        </w:rPr>
        <w:t>Digitalisation</w:t>
      </w:r>
      <w:proofErr w:type="spellEnd"/>
      <w:r>
        <w:rPr>
          <w:b/>
          <w:bCs/>
          <w:color w:val="2E74B5"/>
          <w:sz w:val="26"/>
          <w:szCs w:val="26"/>
        </w:rPr>
        <w:t xml:space="preserve"> of the Ship's Bridge</w:t>
      </w:r>
    </w:p>
    <w:p w14:paraId="19221473" w14:textId="77777777" w:rsidR="00EA406B" w:rsidRDefault="00EA406B">
      <w:pPr>
        <w:pStyle w:val="Heading1"/>
        <w:spacing w:before="400" w:after="200"/>
        <w:rPr>
          <w:rFonts w:eastAsia="Times New Roman"/>
        </w:rPr>
      </w:pPr>
      <w:r>
        <w:rPr>
          <w:rFonts w:eastAsia="Times New Roman"/>
          <w:color w:val="1F4E79"/>
          <w:sz w:val="28"/>
          <w:szCs w:val="28"/>
        </w:rPr>
        <w:t xml:space="preserve">5. The </w:t>
      </w:r>
      <w:proofErr w:type="spellStart"/>
      <w:r>
        <w:rPr>
          <w:rFonts w:eastAsia="Times New Roman"/>
          <w:color w:val="1F4E79"/>
          <w:sz w:val="28"/>
          <w:szCs w:val="28"/>
        </w:rPr>
        <w:t>Digitalisation</w:t>
      </w:r>
      <w:proofErr w:type="spellEnd"/>
      <w:r>
        <w:rPr>
          <w:rFonts w:eastAsia="Times New Roman"/>
          <w:color w:val="1F4E79"/>
          <w:sz w:val="28"/>
          <w:szCs w:val="28"/>
        </w:rPr>
        <w:t xml:space="preserve"> of the Ship's Bridge</w:t>
      </w:r>
    </w:p>
    <w:p w14:paraId="4B7734D4" w14:textId="77777777" w:rsidR="00EA406B" w:rsidRDefault="00EA406B">
      <w:pPr>
        <w:pStyle w:val="Heading2"/>
        <w:spacing w:before="300" w:after="160"/>
        <w:rPr>
          <w:rFonts w:eastAsia="Times New Roman"/>
        </w:rPr>
      </w:pPr>
      <w:r>
        <w:rPr>
          <w:rFonts w:eastAsia="Times New Roman"/>
          <w:color w:val="2E74B5"/>
          <w:sz w:val="24"/>
          <w:szCs w:val="24"/>
        </w:rPr>
        <w:t>5.1 Introduction — From Analogue to Digital</w:t>
      </w:r>
    </w:p>
    <w:p w14:paraId="37327392" w14:textId="77777777" w:rsidR="00EA406B" w:rsidRDefault="00EA406B">
      <w:pPr>
        <w:pStyle w:val="NormalWeb"/>
        <w:spacing w:before="0" w:beforeAutospacing="0" w:after="160" w:afterAutospacing="0"/>
        <w:ind w:firstLine="720"/>
        <w:jc w:val="both"/>
      </w:pPr>
      <w:r>
        <w:rPr>
          <w:color w:val="000000"/>
        </w:rPr>
        <w:t xml:space="preserve">The bridge of a ship is its nerve </w:t>
      </w:r>
      <w:proofErr w:type="spellStart"/>
      <w:r>
        <w:rPr>
          <w:color w:val="000000"/>
        </w:rPr>
        <w:t>centre</w:t>
      </w:r>
      <w:proofErr w:type="spellEnd"/>
      <w:r>
        <w:rPr>
          <w:color w:val="000000"/>
        </w:rPr>
        <w:t xml:space="preserve"> — the space from which the vessel is navigated, steered, and managed. For most of the twentieth century, the ship's bridge was a predominantly analogue environment: a magnetic compass in a binnacle, a mechanical engine order telegraph, paper charts on the chart table, a single-range radar with photographic tube display, a magnetic compass repeater, a radio telephone, a barograph, and a bank of standalone analogue instruments — each providing one data stream to the human operator who was expected to integrate all of them mentally. The </w:t>
      </w:r>
      <w:proofErr w:type="spellStart"/>
      <w:r>
        <w:rPr>
          <w:color w:val="000000"/>
        </w:rPr>
        <w:t>watchkeeping</w:t>
      </w:r>
      <w:proofErr w:type="spellEnd"/>
      <w:r>
        <w:rPr>
          <w:color w:val="000000"/>
        </w:rPr>
        <w:t xml:space="preserve"> officer in 1975 was essentially an analogue information processor — monitoring multiple parallel instrument streams, </w:t>
      </w:r>
      <w:proofErr w:type="spellStart"/>
      <w:r>
        <w:rPr>
          <w:color w:val="000000"/>
        </w:rPr>
        <w:t>synthesising</w:t>
      </w:r>
      <w:proofErr w:type="spellEnd"/>
      <w:r>
        <w:rPr>
          <w:color w:val="000000"/>
        </w:rPr>
        <w:t xml:space="preserve"> them into a mental picture, and making navigational decisions on the basis of that picture (Grabowski, </w:t>
      </w:r>
      <w:proofErr w:type="spellStart"/>
      <w:r>
        <w:rPr>
          <w:color w:val="000000"/>
        </w:rPr>
        <w:t>Szymonik</w:t>
      </w:r>
      <w:proofErr w:type="spellEnd"/>
      <w:r>
        <w:rPr>
          <w:color w:val="000000"/>
        </w:rPr>
        <w:t xml:space="preserve"> &amp; </w:t>
      </w:r>
      <w:proofErr w:type="spellStart"/>
      <w:r>
        <w:rPr>
          <w:color w:val="000000"/>
        </w:rPr>
        <w:t>Furlepa</w:t>
      </w:r>
      <w:proofErr w:type="spellEnd"/>
      <w:r>
        <w:rPr>
          <w:color w:val="000000"/>
        </w:rPr>
        <w:t>, 2021).</w:t>
      </w:r>
    </w:p>
    <w:p w14:paraId="2588779D" w14:textId="77777777" w:rsidR="00EA406B" w:rsidRDefault="00EA406B">
      <w:pPr>
        <w:pStyle w:val="NormalWeb"/>
        <w:spacing w:before="0" w:beforeAutospacing="0" w:after="160" w:afterAutospacing="0"/>
        <w:ind w:firstLine="720"/>
        <w:jc w:val="both"/>
      </w:pPr>
      <w:r>
        <w:rPr>
          <w:color w:val="000000"/>
        </w:rPr>
        <w:t xml:space="preserve">The </w:t>
      </w:r>
      <w:proofErr w:type="spellStart"/>
      <w:r>
        <w:rPr>
          <w:color w:val="000000"/>
        </w:rPr>
        <w:t>digitalisation</w:t>
      </w:r>
      <w:proofErr w:type="spellEnd"/>
      <w:r>
        <w:rPr>
          <w:color w:val="000000"/>
        </w:rPr>
        <w:t xml:space="preserve"> of the ship's bridge — the progressive replacement of these analogue systems with networked digital equivalents and their integration into a coherent, intelligent information environment — has transformed this picture radically. Today, the bridge of a modern SOLAS vessel is a workstation environment in which ECDIS, radar/ARPA, AIS, GMDSS, autopilot, engine control, cargo monitoring, and voyage management are integrated into one or a small number of connected digital consoles. The OOW's role has shifted from analogue information processor to digital systems manager — responsible for monitoring an integrated electronic display, interpreting its outputs, overriding its automated decisions when necessary, and maintaining the situational awareness that no algorithm can fully substitute for (</w:t>
      </w:r>
      <w:proofErr w:type="spellStart"/>
      <w:r>
        <w:rPr>
          <w:color w:val="000000"/>
        </w:rPr>
        <w:t>Wróbel</w:t>
      </w:r>
      <w:proofErr w:type="spellEnd"/>
      <w:r>
        <w:rPr>
          <w:color w:val="000000"/>
        </w:rPr>
        <w:t xml:space="preserve">, </w:t>
      </w:r>
      <w:proofErr w:type="spellStart"/>
      <w:r>
        <w:rPr>
          <w:color w:val="000000"/>
        </w:rPr>
        <w:t>Krata</w:t>
      </w:r>
      <w:proofErr w:type="spellEnd"/>
      <w:r>
        <w:rPr>
          <w:color w:val="000000"/>
        </w:rPr>
        <w:t xml:space="preserve"> &amp; </w:t>
      </w:r>
      <w:proofErr w:type="spellStart"/>
      <w:r>
        <w:rPr>
          <w:color w:val="000000"/>
        </w:rPr>
        <w:t>Szlapczynski</w:t>
      </w:r>
      <w:proofErr w:type="spellEnd"/>
      <w:r>
        <w:rPr>
          <w:color w:val="000000"/>
        </w:rPr>
        <w:t>, 2017).</w:t>
      </w:r>
    </w:p>
    <w:p w14:paraId="7F619820" w14:textId="1BACEF19" w:rsidR="00EA406B" w:rsidRDefault="00EA406B">
      <w:pPr>
        <w:pStyle w:val="NormalWeb"/>
        <w:spacing w:before="80" w:beforeAutospacing="0" w:after="240" w:afterAutospacing="0"/>
        <w:jc w:val="center"/>
      </w:pPr>
    </w:p>
    <w:p w14:paraId="5E15F883" w14:textId="77777777" w:rsidR="00EA406B" w:rsidRDefault="00EA406B">
      <w:pPr>
        <w:pStyle w:val="Heading2"/>
        <w:spacing w:before="300" w:after="160"/>
        <w:rPr>
          <w:rFonts w:eastAsia="Times New Roman"/>
        </w:rPr>
      </w:pPr>
      <w:r>
        <w:rPr>
          <w:rFonts w:eastAsia="Times New Roman"/>
          <w:color w:val="2E74B5"/>
          <w:sz w:val="24"/>
          <w:szCs w:val="24"/>
        </w:rPr>
        <w:lastRenderedPageBreak/>
        <w:t>5.2 The Integrated Bridge System (IBS)</w:t>
      </w:r>
    </w:p>
    <w:p w14:paraId="0BEBA138" w14:textId="77777777" w:rsidR="00EA406B" w:rsidRDefault="00EA406B">
      <w:pPr>
        <w:pStyle w:val="NormalWeb"/>
        <w:spacing w:before="0" w:beforeAutospacing="0" w:after="160" w:afterAutospacing="0"/>
        <w:ind w:firstLine="720"/>
        <w:jc w:val="both"/>
      </w:pPr>
      <w:r>
        <w:rPr>
          <w:color w:val="000000"/>
        </w:rPr>
        <w:t xml:space="preserve">The conceptual and technical </w:t>
      </w:r>
      <w:proofErr w:type="spellStart"/>
      <w:r>
        <w:rPr>
          <w:color w:val="000000"/>
        </w:rPr>
        <w:t>centrepiece</w:t>
      </w:r>
      <w:proofErr w:type="spellEnd"/>
      <w:r>
        <w:rPr>
          <w:color w:val="000000"/>
        </w:rPr>
        <w:t xml:space="preserve"> of bridge </w:t>
      </w:r>
      <w:proofErr w:type="spellStart"/>
      <w:r>
        <w:rPr>
          <w:color w:val="000000"/>
        </w:rPr>
        <w:t>digitalisation</w:t>
      </w:r>
      <w:proofErr w:type="spellEnd"/>
      <w:r>
        <w:rPr>
          <w:color w:val="000000"/>
        </w:rPr>
        <w:t xml:space="preserve"> is the Integrated Bridge System (IBS). Defined by IMO Resolution A.694(17) as 'a combination of systems which are interconnected in order to allow </w:t>
      </w:r>
      <w:proofErr w:type="spellStart"/>
      <w:r>
        <w:rPr>
          <w:color w:val="000000"/>
        </w:rPr>
        <w:t>centralised</w:t>
      </w:r>
      <w:proofErr w:type="spellEnd"/>
      <w:r>
        <w:rPr>
          <w:color w:val="000000"/>
        </w:rPr>
        <w:t xml:space="preserve"> access to navigational, machinery, and cargo information with the aim of increasing safe and efficient ship management by qualified personnel,' the IBS represents the architectural framework through which the various digital subsystems of the modern bridge are networked into a coherent information environment. The IBS does not replace the individual subsystems — ECDIS is still ECDIS, radar is still radar — but it connects them, allowing them to share data and present a unified, integrated picture to the operator (Grabowski et al., 2021; IMO, 2019).</w:t>
      </w:r>
    </w:p>
    <w:p w14:paraId="69949CD6" w14:textId="545D4AA7" w:rsidR="00EA406B" w:rsidRDefault="00EA406B">
      <w:pPr>
        <w:pStyle w:val="NormalWeb"/>
        <w:spacing w:before="80" w:beforeAutospacing="0" w:after="240" w:afterAutospacing="0"/>
        <w:jc w:val="center"/>
      </w:pPr>
    </w:p>
    <w:p w14:paraId="0551A020" w14:textId="77777777" w:rsidR="00EA406B" w:rsidRDefault="00EA406B">
      <w:pPr>
        <w:pStyle w:val="NormalWeb"/>
        <w:spacing w:before="0" w:beforeAutospacing="0" w:after="160" w:afterAutospacing="0"/>
        <w:ind w:firstLine="720"/>
        <w:jc w:val="both"/>
      </w:pPr>
      <w:r>
        <w:rPr>
          <w:color w:val="000000"/>
        </w:rPr>
        <w:t xml:space="preserve">The practical advantage of the IBS is most clearly seen in the integration of ECDIS and radar. In a standalone environment, the ECDIS does not know the current radar target picture, and the radar does not know the ENC depth contours — the navigator must look at both separately and build the integrated picture in his own mind. In an IBS, the ECDIS and radar share the same geodetic reference and display, so radar targets are overlaid directly on the ENC, AIS targets are correlated with ARPA tracks, depth information from the ENC is compared in real time with the echo sounder reading, and the vessel's speed and heading from the inertial navigation unit feed automatically into the ECDIS track control system. The OOW sees one integrated display: the vessel's position on the chart, the radar picture with all tracked targets and their CPA/TCPA values, the AIS identities of all nearby vessels, the depth under the keel, and any active alarms — all simultaneously (IMO, 2019; </w:t>
      </w:r>
      <w:proofErr w:type="spellStart"/>
      <w:r>
        <w:rPr>
          <w:color w:val="000000"/>
        </w:rPr>
        <w:t>Wróbel</w:t>
      </w:r>
      <w:proofErr w:type="spellEnd"/>
      <w:r>
        <w:rPr>
          <w:color w:val="000000"/>
        </w:rPr>
        <w:t xml:space="preserve"> et al., 2017).</w:t>
      </w:r>
    </w:p>
    <w:p w14:paraId="2778B20F" w14:textId="77777777" w:rsidR="00EA406B" w:rsidRDefault="00EA406B">
      <w:pPr>
        <w:pStyle w:val="Heading2"/>
        <w:spacing w:before="300" w:after="160"/>
        <w:rPr>
          <w:rFonts w:eastAsia="Times New Roman"/>
        </w:rPr>
      </w:pPr>
      <w:r>
        <w:rPr>
          <w:rFonts w:eastAsia="Times New Roman"/>
          <w:color w:val="2E74B5"/>
          <w:sz w:val="24"/>
          <w:szCs w:val="24"/>
        </w:rPr>
        <w:t>5.3 Key Digital Systems on the Modern Bridge</w:t>
      </w:r>
    </w:p>
    <w:p w14:paraId="5C53B965" w14:textId="77777777" w:rsidR="00EA406B" w:rsidRDefault="00EA406B">
      <w:pPr>
        <w:pStyle w:val="Heading3"/>
        <w:spacing w:before="240" w:after="120"/>
        <w:rPr>
          <w:rFonts w:eastAsia="Times New Roman"/>
        </w:rPr>
      </w:pPr>
      <w:r>
        <w:rPr>
          <w:rFonts w:eastAsia="Times New Roman"/>
          <w:i/>
          <w:iCs/>
          <w:color w:val="2E74B5"/>
          <w:sz w:val="24"/>
          <w:szCs w:val="24"/>
        </w:rPr>
        <w:t>5.3.1 ECDIS — The Primary Navigation Interface</w:t>
      </w:r>
    </w:p>
    <w:p w14:paraId="12FC50A1" w14:textId="77777777" w:rsidR="00EA406B" w:rsidRDefault="00EA406B">
      <w:pPr>
        <w:pStyle w:val="NormalWeb"/>
        <w:spacing w:before="0" w:beforeAutospacing="0" w:after="160" w:afterAutospacing="0"/>
        <w:ind w:firstLine="720"/>
        <w:jc w:val="both"/>
      </w:pPr>
      <w:r>
        <w:rPr>
          <w:color w:val="000000"/>
        </w:rPr>
        <w:t xml:space="preserve">ECDIS has been discussed extensively in Question 4. In the context of bridge </w:t>
      </w:r>
      <w:proofErr w:type="spellStart"/>
      <w:r>
        <w:rPr>
          <w:color w:val="000000"/>
        </w:rPr>
        <w:t>digitalisation</w:t>
      </w:r>
      <w:proofErr w:type="spellEnd"/>
      <w:r>
        <w:rPr>
          <w:color w:val="000000"/>
        </w:rPr>
        <w:t>, its significance lies not only in its chart display function but in its role as the central integrating platform of the IBS. Modern ECDIS systems receive and display GNSS position, radar overlay, AIS targets, weather routing data, tidal current data, and voyage management information — making them the primary situational awareness tool on the modern bridge. ECDIS track control functionality — the ability to automatically steer the vessel along the planned route — effectively creates a digital autopilot driven by the ENC route plan, subject to human override (UKHO, 2023).</w:t>
      </w:r>
    </w:p>
    <w:p w14:paraId="74ADEA68" w14:textId="77777777" w:rsidR="00EA406B" w:rsidRDefault="00EA406B">
      <w:pPr>
        <w:pStyle w:val="Heading3"/>
        <w:spacing w:before="240" w:after="120"/>
        <w:rPr>
          <w:rFonts w:eastAsia="Times New Roman"/>
        </w:rPr>
      </w:pPr>
      <w:r>
        <w:rPr>
          <w:rFonts w:eastAsia="Times New Roman"/>
          <w:i/>
          <w:iCs/>
          <w:color w:val="2E74B5"/>
          <w:sz w:val="24"/>
          <w:szCs w:val="24"/>
        </w:rPr>
        <w:t>5.3.2 Automatic Identification System (AIS)</w:t>
      </w:r>
    </w:p>
    <w:p w14:paraId="4F068148" w14:textId="77777777" w:rsidR="00EA406B" w:rsidRDefault="00EA406B">
      <w:pPr>
        <w:pStyle w:val="NormalWeb"/>
        <w:spacing w:before="0" w:beforeAutospacing="0" w:after="160" w:afterAutospacing="0"/>
        <w:ind w:firstLine="720"/>
        <w:jc w:val="both"/>
      </w:pPr>
      <w:r>
        <w:rPr>
          <w:color w:val="000000"/>
        </w:rPr>
        <w:t xml:space="preserve">The AIS has become one of the most operationally significant technologies in maritime navigation. Mandatory on SOLAS vessels since 2004, AIS uses VHF digital selective calling technology to continuously broadcast and receive vessel identity, position, course, speed, rate of turn, navigational status, and voyage data. On the modern IBS bridge, AIS data is integrated with ECDIS and radar to provide a comprehensive traffic picture that extends beyond the radar's detection range, identifies each target vessel by name, flag, type, and destination, and allows automatic CPA/TCPA computation for all AIS targets. Shore-based AIS receivers, integrated into </w:t>
      </w:r>
      <w:r>
        <w:rPr>
          <w:color w:val="000000"/>
        </w:rPr>
        <w:lastRenderedPageBreak/>
        <w:t>vessel traffic service (VTS) systems, provide real-time vessel tracking for port approach management (IMO, 2020).</w:t>
      </w:r>
    </w:p>
    <w:p w14:paraId="479A7768" w14:textId="77777777" w:rsidR="00EA406B" w:rsidRDefault="00EA406B">
      <w:pPr>
        <w:pStyle w:val="NormalWeb"/>
        <w:spacing w:before="0" w:beforeAutospacing="0" w:after="160" w:afterAutospacing="0"/>
        <w:ind w:firstLine="720"/>
        <w:jc w:val="both"/>
      </w:pPr>
      <w:r>
        <w:rPr>
          <w:color w:val="000000"/>
        </w:rPr>
        <w:t xml:space="preserve">Nigeria's NIMASA has deployed a national coastal AIS receiving network under its Maritime Domain Awareness </w:t>
      </w:r>
      <w:proofErr w:type="spellStart"/>
      <w:r>
        <w:rPr>
          <w:color w:val="000000"/>
        </w:rPr>
        <w:t>programme</w:t>
      </w:r>
      <w:proofErr w:type="spellEnd"/>
      <w:r>
        <w:rPr>
          <w:color w:val="000000"/>
        </w:rPr>
        <w:t xml:space="preserve">, covering the Nigerian coastline from </w:t>
      </w:r>
      <w:proofErr w:type="spellStart"/>
      <w:r>
        <w:rPr>
          <w:color w:val="000000"/>
        </w:rPr>
        <w:t>Badagry</w:t>
      </w:r>
      <w:proofErr w:type="spellEnd"/>
      <w:r>
        <w:rPr>
          <w:color w:val="000000"/>
        </w:rPr>
        <w:t xml:space="preserve"> to </w:t>
      </w:r>
      <w:proofErr w:type="spellStart"/>
      <w:r>
        <w:rPr>
          <w:color w:val="000000"/>
        </w:rPr>
        <w:t>Calabar</w:t>
      </w:r>
      <w:proofErr w:type="spellEnd"/>
      <w:r>
        <w:rPr>
          <w:color w:val="000000"/>
        </w:rPr>
        <w:t>. This network is integrated with radar surveillance and CCTV to provide the Nigerian MRCC and port VTS systems with a real-time maritime picture. The network data is also shared with regional partners under the Yaoundé Code of Conduct information-sharing architecture (NIMASA, 2022).</w:t>
      </w:r>
    </w:p>
    <w:p w14:paraId="0BE398DE" w14:textId="77777777" w:rsidR="00EA406B" w:rsidRDefault="00EA406B">
      <w:pPr>
        <w:pStyle w:val="Heading3"/>
        <w:spacing w:before="240" w:after="120"/>
        <w:rPr>
          <w:rFonts w:eastAsia="Times New Roman"/>
        </w:rPr>
      </w:pPr>
      <w:r>
        <w:rPr>
          <w:rFonts w:eastAsia="Times New Roman"/>
          <w:i/>
          <w:iCs/>
          <w:color w:val="2E74B5"/>
          <w:sz w:val="24"/>
          <w:szCs w:val="24"/>
        </w:rPr>
        <w:t>5.3.3 Voyage Data Recorder (VDR)</w:t>
      </w:r>
    </w:p>
    <w:p w14:paraId="356C2616" w14:textId="77777777" w:rsidR="00EA406B" w:rsidRDefault="00EA406B">
      <w:pPr>
        <w:pStyle w:val="NormalWeb"/>
        <w:spacing w:before="0" w:beforeAutospacing="0" w:after="160" w:afterAutospacing="0"/>
        <w:ind w:firstLine="720"/>
        <w:jc w:val="both"/>
      </w:pPr>
      <w:r>
        <w:rPr>
          <w:color w:val="000000"/>
        </w:rPr>
        <w:t xml:space="preserve">The VDR is the maritime equivalent of the aircraft black box. Mandatory for SOLAS passenger ships since 2002 and for cargo ships progressively from 2002, the VDR continuously records a </w:t>
      </w:r>
      <w:proofErr w:type="spellStart"/>
      <w:r>
        <w:rPr>
          <w:color w:val="000000"/>
        </w:rPr>
        <w:t>standardised</w:t>
      </w:r>
      <w:proofErr w:type="spellEnd"/>
      <w:r>
        <w:rPr>
          <w:color w:val="000000"/>
        </w:rPr>
        <w:t xml:space="preserve"> set of bridge data — date/time, position, speed, heading, depth, bridge audio, radar images, VHF communications, AIS data, and equipment status — in a protected capsule designed to survive fire, impact, and flooding to 6,000 </w:t>
      </w:r>
      <w:proofErr w:type="spellStart"/>
      <w:r>
        <w:rPr>
          <w:color w:val="000000"/>
        </w:rPr>
        <w:t>metres</w:t>
      </w:r>
      <w:proofErr w:type="spellEnd"/>
      <w:r>
        <w:rPr>
          <w:color w:val="000000"/>
        </w:rPr>
        <w:t xml:space="preserve"> depth. This data is the primary evidential resource for investigations following maritime accidents (</w:t>
      </w:r>
      <w:proofErr w:type="spellStart"/>
      <w:r>
        <w:rPr>
          <w:color w:val="000000"/>
        </w:rPr>
        <w:t>Wróbel</w:t>
      </w:r>
      <w:proofErr w:type="spellEnd"/>
      <w:r>
        <w:rPr>
          <w:color w:val="000000"/>
        </w:rPr>
        <w:t xml:space="preserve"> et al., 2017). The BNWAS (Bridge Navigation Watch Alarm System), discussed below, is typically integrated with the VDR so that </w:t>
      </w:r>
      <w:proofErr w:type="spellStart"/>
      <w:r>
        <w:rPr>
          <w:color w:val="000000"/>
        </w:rPr>
        <w:t>watchkeeper</w:t>
      </w:r>
      <w:proofErr w:type="spellEnd"/>
      <w:r>
        <w:rPr>
          <w:color w:val="000000"/>
        </w:rPr>
        <w:t xml:space="preserve"> acknowledgements and alarm events are recorded as part of the voyage data.</w:t>
      </w:r>
    </w:p>
    <w:p w14:paraId="10FDDEA1" w14:textId="77777777" w:rsidR="00EA406B" w:rsidRDefault="00EA406B">
      <w:pPr>
        <w:pStyle w:val="Heading3"/>
        <w:spacing w:before="240" w:after="120"/>
        <w:rPr>
          <w:rFonts w:eastAsia="Times New Roman"/>
        </w:rPr>
      </w:pPr>
      <w:r>
        <w:rPr>
          <w:rFonts w:eastAsia="Times New Roman"/>
          <w:i/>
          <w:iCs/>
          <w:color w:val="2E74B5"/>
          <w:sz w:val="24"/>
          <w:szCs w:val="24"/>
        </w:rPr>
        <w:t>5.3.4 Bridge Navigation Watch Alarm System (BNWAS)</w:t>
      </w:r>
    </w:p>
    <w:p w14:paraId="765288A6" w14:textId="77777777" w:rsidR="00EA406B" w:rsidRDefault="00EA406B">
      <w:pPr>
        <w:pStyle w:val="NormalWeb"/>
        <w:spacing w:before="0" w:beforeAutospacing="0" w:after="160" w:afterAutospacing="0"/>
        <w:ind w:firstLine="720"/>
        <w:jc w:val="both"/>
      </w:pPr>
      <w:r>
        <w:rPr>
          <w:color w:val="000000"/>
        </w:rPr>
        <w:t xml:space="preserve">The BNWAS is a deceptively simple but highly effective digital safety system. It requires the </w:t>
      </w:r>
      <w:proofErr w:type="spellStart"/>
      <w:r>
        <w:rPr>
          <w:color w:val="000000"/>
        </w:rPr>
        <w:t>watchkeeper</w:t>
      </w:r>
      <w:proofErr w:type="spellEnd"/>
      <w:r>
        <w:rPr>
          <w:color w:val="000000"/>
        </w:rPr>
        <w:t xml:space="preserve"> to periodically acknowledge an alarm — typically every 3 to 12 minutes — by pressing a button or activating a motion sensor. If the </w:t>
      </w:r>
      <w:proofErr w:type="spellStart"/>
      <w:r>
        <w:rPr>
          <w:color w:val="000000"/>
        </w:rPr>
        <w:t>watchkeeper</w:t>
      </w:r>
      <w:proofErr w:type="spellEnd"/>
      <w:r>
        <w:rPr>
          <w:color w:val="000000"/>
        </w:rPr>
        <w:t xml:space="preserve"> fails to acknowledge within the set interval — because of incapacitation, sleep, or distraction — the alarm escalates: first a visual/audio alert on the bridge, then an alert in the master's cabin, then an alert in the duty officer's accommodation. BNWAS became mandatory under SOLAS Regulation V/19 for most new ships from 2011 and for existing ships progressively through 2014. It directly addresses one of the most dangerous human factors risks in </w:t>
      </w:r>
      <w:proofErr w:type="spellStart"/>
      <w:r>
        <w:rPr>
          <w:color w:val="000000"/>
        </w:rPr>
        <w:t>watchkeeping</w:t>
      </w:r>
      <w:proofErr w:type="spellEnd"/>
      <w:r>
        <w:rPr>
          <w:color w:val="000000"/>
        </w:rPr>
        <w:t>: the fatigued single-</w:t>
      </w:r>
      <w:proofErr w:type="spellStart"/>
      <w:r>
        <w:rPr>
          <w:color w:val="000000"/>
        </w:rPr>
        <w:t>watchkeeper</w:t>
      </w:r>
      <w:proofErr w:type="spellEnd"/>
      <w:r>
        <w:rPr>
          <w:color w:val="000000"/>
        </w:rPr>
        <w:t xml:space="preserve"> who falls asleep at the helm (Grabowski et al., 2021).</w:t>
      </w:r>
    </w:p>
    <w:p w14:paraId="5751310E" w14:textId="77777777" w:rsidR="00EA406B" w:rsidRDefault="00EA406B">
      <w:pPr>
        <w:pStyle w:val="Heading2"/>
        <w:spacing w:before="300" w:after="160"/>
        <w:rPr>
          <w:rFonts w:eastAsia="Times New Roman"/>
        </w:rPr>
      </w:pPr>
      <w:r>
        <w:rPr>
          <w:rFonts w:eastAsia="Times New Roman"/>
          <w:color w:val="2E74B5"/>
          <w:sz w:val="24"/>
          <w:szCs w:val="24"/>
        </w:rPr>
        <w:t>5.4 e-Navigation and Autonomous Shipping</w:t>
      </w:r>
    </w:p>
    <w:p w14:paraId="60D3BD60" w14:textId="77777777" w:rsidR="00EA406B" w:rsidRDefault="00EA406B">
      <w:pPr>
        <w:pStyle w:val="NormalWeb"/>
        <w:spacing w:before="0" w:beforeAutospacing="0" w:after="160" w:afterAutospacing="0"/>
        <w:ind w:firstLine="720"/>
        <w:jc w:val="both"/>
      </w:pPr>
      <w:r>
        <w:rPr>
          <w:color w:val="000000"/>
        </w:rPr>
        <w:t xml:space="preserve">The IMO's e-Navigation strategy, endorsed by MSC 85 in 2008 and progressively implemented through the 2020s, envisions a future in which all ships, shore stations, port authorities, and maritime service providers share </w:t>
      </w:r>
      <w:proofErr w:type="spellStart"/>
      <w:r>
        <w:rPr>
          <w:color w:val="000000"/>
        </w:rPr>
        <w:t>standardised</w:t>
      </w:r>
      <w:proofErr w:type="spellEnd"/>
      <w:r>
        <w:rPr>
          <w:color w:val="000000"/>
        </w:rPr>
        <w:t xml:space="preserve"> digital data using </w:t>
      </w:r>
      <w:proofErr w:type="spellStart"/>
      <w:r>
        <w:rPr>
          <w:color w:val="000000"/>
        </w:rPr>
        <w:t>harmonised</w:t>
      </w:r>
      <w:proofErr w:type="spellEnd"/>
      <w:r>
        <w:rPr>
          <w:color w:val="000000"/>
        </w:rPr>
        <w:t xml:space="preserve"> formats, protocols, and interfaces. The five e-Navigation user needs identified by the IMO — improved </w:t>
      </w:r>
      <w:proofErr w:type="spellStart"/>
      <w:r>
        <w:rPr>
          <w:color w:val="000000"/>
        </w:rPr>
        <w:t>watchkeeping</w:t>
      </w:r>
      <w:proofErr w:type="spellEnd"/>
      <w:r>
        <w:rPr>
          <w:color w:val="000000"/>
        </w:rPr>
        <w:t>; improved communication between ship and shore; improved voyage planning; improved maritime services; and improved vessel traffic management — define the scope of a transformation that is still actively underway. Key achievements include the IMO S-Mode concept (</w:t>
      </w:r>
      <w:proofErr w:type="spellStart"/>
      <w:r>
        <w:rPr>
          <w:color w:val="000000"/>
        </w:rPr>
        <w:t>standardised</w:t>
      </w:r>
      <w:proofErr w:type="spellEnd"/>
      <w:r>
        <w:rPr>
          <w:color w:val="000000"/>
        </w:rPr>
        <w:t xml:space="preserve"> IBS interface), the MCP (Maritime Connectivity Platform) for identity management, and the progressive </w:t>
      </w:r>
      <w:proofErr w:type="spellStart"/>
      <w:r>
        <w:rPr>
          <w:color w:val="000000"/>
        </w:rPr>
        <w:t>digitalisation</w:t>
      </w:r>
      <w:proofErr w:type="spellEnd"/>
      <w:r>
        <w:rPr>
          <w:color w:val="000000"/>
        </w:rPr>
        <w:t xml:space="preserve"> of port clearance procedures (IMO, 2019).</w:t>
      </w:r>
    </w:p>
    <w:p w14:paraId="3614FD2B" w14:textId="77777777" w:rsidR="00EA406B" w:rsidRDefault="00EA406B">
      <w:pPr>
        <w:pStyle w:val="NormalWeb"/>
        <w:spacing w:before="0" w:beforeAutospacing="0" w:after="160" w:afterAutospacing="0"/>
        <w:ind w:firstLine="720"/>
        <w:jc w:val="both"/>
      </w:pPr>
      <w:r>
        <w:rPr>
          <w:color w:val="000000"/>
        </w:rPr>
        <w:t xml:space="preserve">Maritime Autonomous Surface Ships (MASS) represent the most radical extension of bridge </w:t>
      </w:r>
      <w:proofErr w:type="spellStart"/>
      <w:r>
        <w:rPr>
          <w:color w:val="000000"/>
        </w:rPr>
        <w:t>digitalisation</w:t>
      </w:r>
      <w:proofErr w:type="spellEnd"/>
      <w:r>
        <w:rPr>
          <w:color w:val="000000"/>
        </w:rPr>
        <w:t xml:space="preserve">. The IMO MASS scoping exercise (2018-2021) identified four degrees of </w:t>
      </w:r>
      <w:r>
        <w:rPr>
          <w:color w:val="000000"/>
        </w:rPr>
        <w:lastRenderedPageBreak/>
        <w:t xml:space="preserve">autonomy: ship with automated processes and decision support (essentially the current IBS); remotely controlled ship with crew on board; remotely controlled ship without crew; and fully autonomous ship. Commercially, remotely operated ferries and supply vessels are already operating in Norwegian fjords and Japanese coastal waters, and the regulatory framework for their operation is progressively being developed within the IMO (IMO, 2019; </w:t>
      </w:r>
      <w:proofErr w:type="spellStart"/>
      <w:r>
        <w:rPr>
          <w:color w:val="000000"/>
        </w:rPr>
        <w:t>Wróbel</w:t>
      </w:r>
      <w:proofErr w:type="spellEnd"/>
      <w:r>
        <w:rPr>
          <w:color w:val="000000"/>
        </w:rPr>
        <w:t xml:space="preserve"> et al., 2017).</w:t>
      </w:r>
    </w:p>
    <w:p w14:paraId="5E4126AC" w14:textId="77777777" w:rsidR="00EA406B" w:rsidRDefault="00EA406B">
      <w:pPr>
        <w:pStyle w:val="Heading2"/>
        <w:spacing w:before="300" w:after="160"/>
        <w:rPr>
          <w:rFonts w:eastAsia="Times New Roman"/>
        </w:rPr>
      </w:pPr>
      <w:r>
        <w:rPr>
          <w:rFonts w:eastAsia="Times New Roman"/>
          <w:color w:val="2E74B5"/>
          <w:sz w:val="24"/>
          <w:szCs w:val="24"/>
        </w:rPr>
        <w:t xml:space="preserve">5.5 Challenges and Risks of Bridge </w:t>
      </w:r>
      <w:proofErr w:type="spellStart"/>
      <w:r>
        <w:rPr>
          <w:rFonts w:eastAsia="Times New Roman"/>
          <w:color w:val="2E74B5"/>
          <w:sz w:val="24"/>
          <w:szCs w:val="24"/>
        </w:rPr>
        <w:t>Digitalisation</w:t>
      </w:r>
      <w:proofErr w:type="spellEnd"/>
    </w:p>
    <w:p w14:paraId="04757C57" w14:textId="77777777" w:rsidR="00EA406B" w:rsidRDefault="00EA406B">
      <w:pPr>
        <w:pStyle w:val="NormalWeb"/>
        <w:spacing w:before="0" w:beforeAutospacing="0" w:after="160" w:afterAutospacing="0"/>
        <w:ind w:firstLine="720"/>
        <w:jc w:val="both"/>
      </w:pPr>
      <w:r>
        <w:rPr>
          <w:color w:val="000000"/>
        </w:rPr>
        <w:t xml:space="preserve">Bridge </w:t>
      </w:r>
      <w:proofErr w:type="spellStart"/>
      <w:r>
        <w:rPr>
          <w:color w:val="000000"/>
        </w:rPr>
        <w:t>digitalisation</w:t>
      </w:r>
      <w:proofErr w:type="spellEnd"/>
      <w:r>
        <w:rPr>
          <w:color w:val="000000"/>
        </w:rPr>
        <w:t xml:space="preserve"> has brought transformative improvements in navigational accuracy, safety monitoring, and information richness. However, it has also created a set of new challenges that must be carefully managed.</w:t>
      </w:r>
    </w:p>
    <w:p w14:paraId="2A2FBFA4" w14:textId="77777777" w:rsidR="00EA406B" w:rsidRDefault="00EA406B">
      <w:pPr>
        <w:pStyle w:val="NormalWeb"/>
        <w:numPr>
          <w:ilvl w:val="0"/>
          <w:numId w:val="1"/>
        </w:numPr>
        <w:spacing w:before="0" w:beforeAutospacing="0" w:after="120" w:afterAutospacing="0"/>
        <w:textAlignment w:val="baseline"/>
        <w:rPr>
          <w:color w:val="000000"/>
        </w:rPr>
      </w:pPr>
      <w:r>
        <w:rPr>
          <w:color w:val="000000"/>
        </w:rPr>
        <w:t xml:space="preserve">Over-reliance and skill degradation: When ECDIS, ARPA, and AIS automate the tasks of position-fixing, CPA calculation, and target tracking, officers who have never experienced navigation without these systems may lack the skills to navigate safely if the systems fail. ECDIS-related groundings — including the MV </w:t>
      </w:r>
      <w:proofErr w:type="spellStart"/>
      <w:r>
        <w:rPr>
          <w:color w:val="000000"/>
        </w:rPr>
        <w:t>Ovit</w:t>
      </w:r>
      <w:proofErr w:type="spellEnd"/>
      <w:r>
        <w:rPr>
          <w:color w:val="000000"/>
        </w:rPr>
        <w:t xml:space="preserve"> in 2017 and the bulk carrier OS 35 in 2022 — illustrate the dangers of treating ECDIS as an infallible authority rather than a decision-support tool.</w:t>
      </w:r>
    </w:p>
    <w:p w14:paraId="04D7CC9A" w14:textId="77777777" w:rsidR="00EA406B" w:rsidRDefault="00EA406B">
      <w:pPr>
        <w:pStyle w:val="NormalWeb"/>
        <w:numPr>
          <w:ilvl w:val="0"/>
          <w:numId w:val="1"/>
        </w:numPr>
        <w:spacing w:before="0" w:beforeAutospacing="0" w:after="120" w:afterAutospacing="0"/>
        <w:textAlignment w:val="baseline"/>
        <w:rPr>
          <w:color w:val="000000"/>
        </w:rPr>
      </w:pPr>
      <w:r>
        <w:rPr>
          <w:color w:val="000000"/>
        </w:rPr>
        <w:t>Cyber security vulnerability: Networked bridge systems connected to satellite communication links, shore monitoring systems, and crew welfare internet are vulnerable to GPS spoofing, AIS data injection, ECDIS malware, and ransomware attacks. IMO Resolution MSC-FAL.1/Circ.3 (2017) requires shipping companies to incorporate cyber risk management into their ISM safety management systems (IMO, 2019).</w:t>
      </w:r>
    </w:p>
    <w:p w14:paraId="65D0D123" w14:textId="77777777" w:rsidR="00EA406B" w:rsidRDefault="00EA406B">
      <w:pPr>
        <w:pStyle w:val="NormalWeb"/>
        <w:numPr>
          <w:ilvl w:val="0"/>
          <w:numId w:val="1"/>
        </w:numPr>
        <w:spacing w:before="0" w:beforeAutospacing="0" w:after="120" w:afterAutospacing="0"/>
        <w:textAlignment w:val="baseline"/>
        <w:rPr>
          <w:color w:val="000000"/>
        </w:rPr>
      </w:pPr>
      <w:r>
        <w:rPr>
          <w:color w:val="000000"/>
        </w:rPr>
        <w:t xml:space="preserve">Alarm flooding: A fully integrated IBS can generate dozens or hundreds of alarms per watch in busy conditions — ECDIS route alarms, ARPA CPA alarms, GMDSS alerts, machinery alarms, and administrative notifications all competing for the </w:t>
      </w:r>
      <w:proofErr w:type="spellStart"/>
      <w:r>
        <w:rPr>
          <w:color w:val="000000"/>
        </w:rPr>
        <w:t>watchkeeper's</w:t>
      </w:r>
      <w:proofErr w:type="spellEnd"/>
      <w:r>
        <w:rPr>
          <w:color w:val="000000"/>
        </w:rPr>
        <w:t xml:space="preserve"> attention simultaneously. IEC 62923-1 and IMO guidance MSC-Circ.1462 on Alert Management provide frameworks for </w:t>
      </w:r>
      <w:proofErr w:type="spellStart"/>
      <w:r>
        <w:rPr>
          <w:color w:val="000000"/>
        </w:rPr>
        <w:t>rationalising</w:t>
      </w:r>
      <w:proofErr w:type="spellEnd"/>
      <w:r>
        <w:rPr>
          <w:color w:val="000000"/>
        </w:rPr>
        <w:t xml:space="preserve"> alarms, but implementation across the fleet is uneven (Grabowski et al., 2021).</w:t>
      </w:r>
    </w:p>
    <w:p w14:paraId="16F41777" w14:textId="77777777" w:rsidR="00EA406B" w:rsidRDefault="00EA406B">
      <w:pPr>
        <w:pStyle w:val="NormalWeb"/>
        <w:numPr>
          <w:ilvl w:val="0"/>
          <w:numId w:val="1"/>
        </w:numPr>
        <w:spacing w:before="0" w:beforeAutospacing="0" w:after="120" w:afterAutospacing="0"/>
        <w:textAlignment w:val="baseline"/>
        <w:rPr>
          <w:color w:val="000000"/>
        </w:rPr>
      </w:pPr>
      <w:r>
        <w:rPr>
          <w:color w:val="000000"/>
        </w:rPr>
        <w:t xml:space="preserve">Training and </w:t>
      </w:r>
      <w:proofErr w:type="spellStart"/>
      <w:r>
        <w:rPr>
          <w:color w:val="000000"/>
        </w:rPr>
        <w:t>familiarisation</w:t>
      </w:r>
      <w:proofErr w:type="spellEnd"/>
      <w:r>
        <w:rPr>
          <w:color w:val="000000"/>
        </w:rPr>
        <w:t xml:space="preserve"> gaps: The diversity of ECDIS and IBS systems across different manufacturers means that an officer trained on one system may struggle with a different manufacturer's interface. The STCW Manila Amendments (2010) mandate ECDIS generic and type-specific training, but enforcement and verification remain challenging in some flag states.</w:t>
      </w:r>
    </w:p>
    <w:p w14:paraId="2D34EB5A" w14:textId="77777777" w:rsidR="00EA406B" w:rsidRDefault="00EA406B">
      <w:pPr>
        <w:pStyle w:val="NormalWeb"/>
        <w:numPr>
          <w:ilvl w:val="0"/>
          <w:numId w:val="1"/>
        </w:numPr>
        <w:spacing w:before="0" w:beforeAutospacing="0" w:after="120" w:afterAutospacing="0"/>
        <w:textAlignment w:val="baseline"/>
        <w:rPr>
          <w:color w:val="000000"/>
        </w:rPr>
      </w:pPr>
      <w:r>
        <w:rPr>
          <w:color w:val="000000"/>
        </w:rPr>
        <w:t>Data quality dependency: The effectiveness of the IBS depends entirely on the quality of the data it receives — GNSS position accuracy, ENC survey quality, AIS data integrity. In areas of poor ENC coverage (including parts of the Nigerian coastal zone), the IBS may display dangerous confidence in a chart that contains significant data gaps or errors.</w:t>
      </w:r>
    </w:p>
    <w:p w14:paraId="62359B3C" w14:textId="77777777" w:rsidR="00EA406B" w:rsidRDefault="00EA406B">
      <w:pPr>
        <w:pStyle w:val="NormalWeb"/>
        <w:spacing w:before="200" w:beforeAutospacing="0" w:after="80" w:afterAutospacing="0"/>
        <w:jc w:val="center"/>
      </w:pPr>
      <w:r>
        <w:rPr>
          <w:b/>
          <w:bCs/>
          <w:color w:val="1F4E79"/>
          <w:sz w:val="20"/>
          <w:szCs w:val="20"/>
        </w:rPr>
        <w:t>Table 6: Traditional Analogue Bridge vs Modern Integrated Digital Bridge — Comparative Analysis</w:t>
      </w:r>
    </w:p>
    <w:tbl>
      <w:tblPr>
        <w:tblW w:w="0" w:type="auto"/>
        <w:tblCellMar>
          <w:top w:w="15" w:type="dxa"/>
          <w:left w:w="15" w:type="dxa"/>
          <w:bottom w:w="15" w:type="dxa"/>
          <w:right w:w="15" w:type="dxa"/>
        </w:tblCellMar>
        <w:tblLook w:val="04A0" w:firstRow="1" w:lastRow="0" w:firstColumn="1" w:lastColumn="0" w:noHBand="0" w:noVBand="1"/>
      </w:tblPr>
      <w:tblGrid>
        <w:gridCol w:w="1910"/>
        <w:gridCol w:w="3451"/>
        <w:gridCol w:w="3983"/>
      </w:tblGrid>
      <w:tr w:rsidR="00EA406B" w14:paraId="21505808" w14:textId="77777777">
        <w:tc>
          <w:tcPr>
            <w:tcW w:w="0" w:type="auto"/>
            <w:tcBorders>
              <w:top w:val="single" w:sz="6" w:space="0" w:color="2E74B5"/>
              <w:left w:val="single" w:sz="6" w:space="0" w:color="2E74B5"/>
              <w:bottom w:val="single" w:sz="6" w:space="0" w:color="2E74B5"/>
              <w:right w:val="single" w:sz="6" w:space="0" w:color="2E74B5"/>
            </w:tcBorders>
            <w:shd w:val="clear" w:color="auto" w:fill="1F4E79"/>
            <w:tcMar>
              <w:top w:w="80" w:type="dxa"/>
              <w:left w:w="120" w:type="dxa"/>
              <w:bottom w:w="80" w:type="dxa"/>
              <w:right w:w="120" w:type="dxa"/>
            </w:tcMar>
            <w:vAlign w:val="center"/>
            <w:hideMark/>
          </w:tcPr>
          <w:p w14:paraId="3D9127D6" w14:textId="77777777" w:rsidR="00EA406B" w:rsidRDefault="00EA406B">
            <w:pPr>
              <w:pStyle w:val="NormalWeb"/>
              <w:spacing w:before="0" w:beforeAutospacing="0" w:after="0" w:afterAutospacing="0"/>
              <w:jc w:val="center"/>
            </w:pPr>
            <w:r>
              <w:rPr>
                <w:b/>
                <w:bCs/>
                <w:color w:val="FFFFFF"/>
                <w:sz w:val="20"/>
                <w:szCs w:val="20"/>
              </w:rPr>
              <w:t>Dimension</w:t>
            </w:r>
          </w:p>
        </w:tc>
        <w:tc>
          <w:tcPr>
            <w:tcW w:w="0" w:type="auto"/>
            <w:tcBorders>
              <w:top w:val="single" w:sz="6" w:space="0" w:color="2E74B5"/>
              <w:left w:val="single" w:sz="6" w:space="0" w:color="2E74B5"/>
              <w:bottom w:val="single" w:sz="6" w:space="0" w:color="2E74B5"/>
              <w:right w:val="single" w:sz="6" w:space="0" w:color="2E74B5"/>
            </w:tcBorders>
            <w:shd w:val="clear" w:color="auto" w:fill="1F4E79"/>
            <w:tcMar>
              <w:top w:w="80" w:type="dxa"/>
              <w:left w:w="120" w:type="dxa"/>
              <w:bottom w:w="80" w:type="dxa"/>
              <w:right w:w="120" w:type="dxa"/>
            </w:tcMar>
            <w:vAlign w:val="center"/>
            <w:hideMark/>
          </w:tcPr>
          <w:p w14:paraId="04B20AD2" w14:textId="77777777" w:rsidR="00EA406B" w:rsidRDefault="00EA406B">
            <w:pPr>
              <w:pStyle w:val="NormalWeb"/>
              <w:spacing w:before="0" w:beforeAutospacing="0" w:after="0" w:afterAutospacing="0"/>
              <w:jc w:val="center"/>
            </w:pPr>
            <w:r>
              <w:rPr>
                <w:b/>
                <w:bCs/>
                <w:color w:val="FFFFFF"/>
                <w:sz w:val="20"/>
                <w:szCs w:val="20"/>
              </w:rPr>
              <w:t>Traditional Analogue Bridge</w:t>
            </w:r>
          </w:p>
        </w:tc>
        <w:tc>
          <w:tcPr>
            <w:tcW w:w="0" w:type="auto"/>
            <w:tcBorders>
              <w:top w:val="single" w:sz="6" w:space="0" w:color="2E74B5"/>
              <w:left w:val="single" w:sz="6" w:space="0" w:color="2E74B5"/>
              <w:bottom w:val="single" w:sz="6" w:space="0" w:color="2E74B5"/>
              <w:right w:val="single" w:sz="6" w:space="0" w:color="2E74B5"/>
            </w:tcBorders>
            <w:shd w:val="clear" w:color="auto" w:fill="1F4E79"/>
            <w:tcMar>
              <w:top w:w="80" w:type="dxa"/>
              <w:left w:w="120" w:type="dxa"/>
              <w:bottom w:w="80" w:type="dxa"/>
              <w:right w:w="120" w:type="dxa"/>
            </w:tcMar>
            <w:vAlign w:val="center"/>
            <w:hideMark/>
          </w:tcPr>
          <w:p w14:paraId="3D55D81B" w14:textId="77777777" w:rsidR="00EA406B" w:rsidRDefault="00EA406B">
            <w:pPr>
              <w:pStyle w:val="NormalWeb"/>
              <w:spacing w:before="0" w:beforeAutospacing="0" w:after="0" w:afterAutospacing="0"/>
              <w:jc w:val="center"/>
            </w:pPr>
            <w:r>
              <w:rPr>
                <w:b/>
                <w:bCs/>
                <w:color w:val="FFFFFF"/>
                <w:sz w:val="20"/>
                <w:szCs w:val="20"/>
              </w:rPr>
              <w:t>Modern Digital / IBS Bridge</w:t>
            </w:r>
          </w:p>
        </w:tc>
      </w:tr>
      <w:tr w:rsidR="00EA406B" w14:paraId="4F3F748C" w14:textId="77777777">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224DE4AE" w14:textId="77777777" w:rsidR="00EA406B" w:rsidRDefault="00EA406B">
            <w:pPr>
              <w:pStyle w:val="NormalWeb"/>
              <w:spacing w:before="0" w:beforeAutospacing="0" w:after="0" w:afterAutospacing="0"/>
            </w:pPr>
            <w:r>
              <w:rPr>
                <w:b/>
                <w:bCs/>
                <w:color w:val="000000"/>
                <w:sz w:val="20"/>
                <w:szCs w:val="20"/>
              </w:rPr>
              <w:t>Position Fixing</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214A9C6A" w14:textId="77777777" w:rsidR="00EA406B" w:rsidRDefault="00EA406B">
            <w:pPr>
              <w:pStyle w:val="NormalWeb"/>
              <w:spacing w:before="0" w:beforeAutospacing="0" w:after="0" w:afterAutospacing="0"/>
            </w:pPr>
            <w:r>
              <w:rPr>
                <w:color w:val="000000"/>
                <w:sz w:val="20"/>
                <w:szCs w:val="20"/>
              </w:rPr>
              <w:t>Visual bearings, celestial observations, manual radar plotting on paper chart</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465F40A3" w14:textId="77777777" w:rsidR="00EA406B" w:rsidRDefault="00EA406B">
            <w:pPr>
              <w:pStyle w:val="NormalWeb"/>
              <w:spacing w:before="0" w:beforeAutospacing="0" w:after="0" w:afterAutospacing="0"/>
            </w:pPr>
            <w:r>
              <w:rPr>
                <w:color w:val="000000"/>
                <w:sz w:val="20"/>
                <w:szCs w:val="20"/>
              </w:rPr>
              <w:t>GNSS/ECDIS continuous automatic fix; sub-10m accuracy; alarm on deviation</w:t>
            </w:r>
          </w:p>
        </w:tc>
      </w:tr>
      <w:tr w:rsidR="00EA406B" w14:paraId="361866FD" w14:textId="77777777">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5066F5B3" w14:textId="77777777" w:rsidR="00EA406B" w:rsidRDefault="00EA406B">
            <w:pPr>
              <w:pStyle w:val="NormalWeb"/>
              <w:spacing w:before="0" w:beforeAutospacing="0" w:after="0" w:afterAutospacing="0"/>
            </w:pPr>
            <w:r>
              <w:rPr>
                <w:b/>
                <w:bCs/>
                <w:color w:val="000000"/>
                <w:sz w:val="20"/>
                <w:szCs w:val="20"/>
              </w:rPr>
              <w:lastRenderedPageBreak/>
              <w:t>Collision Avoidance</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18ECC1E0" w14:textId="77777777" w:rsidR="00EA406B" w:rsidRDefault="00EA406B">
            <w:pPr>
              <w:pStyle w:val="NormalWeb"/>
              <w:spacing w:before="0" w:beforeAutospacing="0" w:after="0" w:afterAutospacing="0"/>
            </w:pPr>
            <w:r>
              <w:rPr>
                <w:color w:val="000000"/>
                <w:sz w:val="20"/>
                <w:szCs w:val="20"/>
              </w:rPr>
              <w:t>Manual radar plot; subjective bearing monitoring; standalone instruments</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4DD66CCA" w14:textId="77777777" w:rsidR="00EA406B" w:rsidRDefault="00EA406B">
            <w:pPr>
              <w:pStyle w:val="NormalWeb"/>
              <w:spacing w:before="0" w:beforeAutospacing="0" w:after="0" w:afterAutospacing="0"/>
            </w:pPr>
            <w:r>
              <w:rPr>
                <w:color w:val="000000"/>
                <w:sz w:val="20"/>
                <w:szCs w:val="20"/>
              </w:rPr>
              <w:t xml:space="preserve">ARPA continuous tracking; CPA/TCPA alarms; AIS integration; trial </w:t>
            </w:r>
            <w:proofErr w:type="spellStart"/>
            <w:r>
              <w:rPr>
                <w:color w:val="000000"/>
                <w:sz w:val="20"/>
                <w:szCs w:val="20"/>
              </w:rPr>
              <w:t>manoeuvre</w:t>
            </w:r>
            <w:proofErr w:type="spellEnd"/>
            <w:r>
              <w:rPr>
                <w:color w:val="000000"/>
                <w:sz w:val="20"/>
                <w:szCs w:val="20"/>
              </w:rPr>
              <w:t xml:space="preserve"> function</w:t>
            </w:r>
          </w:p>
        </w:tc>
      </w:tr>
      <w:tr w:rsidR="00EA406B" w14:paraId="032ECC2B" w14:textId="77777777">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6133B713" w14:textId="77777777" w:rsidR="00EA406B" w:rsidRDefault="00EA406B">
            <w:pPr>
              <w:pStyle w:val="NormalWeb"/>
              <w:spacing w:before="0" w:beforeAutospacing="0" w:after="0" w:afterAutospacing="0"/>
            </w:pPr>
            <w:r>
              <w:rPr>
                <w:b/>
                <w:bCs/>
                <w:color w:val="000000"/>
                <w:sz w:val="20"/>
                <w:szCs w:val="20"/>
              </w:rPr>
              <w:t>Chart System</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18033277" w14:textId="77777777" w:rsidR="00EA406B" w:rsidRDefault="00EA406B">
            <w:pPr>
              <w:pStyle w:val="NormalWeb"/>
              <w:spacing w:before="0" w:beforeAutospacing="0" w:after="0" w:afterAutospacing="0"/>
            </w:pPr>
            <w:r>
              <w:rPr>
                <w:color w:val="000000"/>
                <w:sz w:val="20"/>
                <w:szCs w:val="20"/>
              </w:rPr>
              <w:t xml:space="preserve">Paper charts corrected by hand with </w:t>
            </w:r>
            <w:proofErr w:type="spellStart"/>
            <w:r>
              <w:rPr>
                <w:color w:val="000000"/>
                <w:sz w:val="20"/>
                <w:szCs w:val="20"/>
              </w:rPr>
              <w:t>NtM</w:t>
            </w:r>
            <w:proofErr w:type="spellEnd"/>
            <w:r>
              <w:rPr>
                <w:color w:val="000000"/>
                <w:sz w:val="20"/>
                <w:szCs w:val="20"/>
              </w:rPr>
              <w:t>; parallel ruler and dividers</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4DB3BB8C" w14:textId="77777777" w:rsidR="00EA406B" w:rsidRDefault="00EA406B">
            <w:pPr>
              <w:pStyle w:val="NormalWeb"/>
              <w:spacing w:before="0" w:beforeAutospacing="0" w:after="0" w:afterAutospacing="0"/>
            </w:pPr>
            <w:r>
              <w:rPr>
                <w:color w:val="000000"/>
                <w:sz w:val="20"/>
                <w:szCs w:val="20"/>
              </w:rPr>
              <w:t>ECDIS with automatic ENC updates; route planning; under-keel alarms; radar overlay</w:t>
            </w:r>
          </w:p>
        </w:tc>
      </w:tr>
      <w:tr w:rsidR="00EA406B" w14:paraId="1290A1D5" w14:textId="77777777">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355B4D16" w14:textId="77777777" w:rsidR="00EA406B" w:rsidRDefault="00EA406B">
            <w:pPr>
              <w:pStyle w:val="NormalWeb"/>
              <w:spacing w:before="0" w:beforeAutospacing="0" w:after="0" w:afterAutospacing="0"/>
            </w:pPr>
            <w:r>
              <w:rPr>
                <w:b/>
                <w:bCs/>
                <w:color w:val="000000"/>
                <w:sz w:val="20"/>
                <w:szCs w:val="20"/>
              </w:rPr>
              <w:t>Communication</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0AA91911" w14:textId="77777777" w:rsidR="00EA406B" w:rsidRDefault="00EA406B">
            <w:pPr>
              <w:pStyle w:val="NormalWeb"/>
              <w:spacing w:before="0" w:beforeAutospacing="0" w:after="0" w:afterAutospacing="0"/>
            </w:pPr>
            <w:r>
              <w:rPr>
                <w:color w:val="000000"/>
                <w:sz w:val="20"/>
                <w:szCs w:val="20"/>
              </w:rPr>
              <w:t>VHF/MF voice radio; Morse code radio officer; telex</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14336404" w14:textId="77777777" w:rsidR="00EA406B" w:rsidRDefault="00EA406B">
            <w:pPr>
              <w:pStyle w:val="NormalWeb"/>
              <w:spacing w:before="0" w:beforeAutospacing="0" w:after="0" w:afterAutospacing="0"/>
            </w:pPr>
            <w:r>
              <w:rPr>
                <w:color w:val="000000"/>
                <w:sz w:val="20"/>
                <w:szCs w:val="20"/>
              </w:rPr>
              <w:t xml:space="preserve">GMDSS — DSC, INMARSAT, NAVTEX, </w:t>
            </w:r>
            <w:proofErr w:type="spellStart"/>
            <w:r>
              <w:rPr>
                <w:color w:val="000000"/>
                <w:sz w:val="20"/>
                <w:szCs w:val="20"/>
              </w:rPr>
              <w:t>SafetyNET</w:t>
            </w:r>
            <w:proofErr w:type="spellEnd"/>
            <w:r>
              <w:rPr>
                <w:color w:val="000000"/>
                <w:sz w:val="20"/>
                <w:szCs w:val="20"/>
              </w:rPr>
              <w:t>; integrated VHF/MF/HF DSC; AIS</w:t>
            </w:r>
          </w:p>
        </w:tc>
      </w:tr>
      <w:tr w:rsidR="00EA406B" w14:paraId="2D718B6F" w14:textId="77777777">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519D1A95" w14:textId="77777777" w:rsidR="00EA406B" w:rsidRDefault="00EA406B">
            <w:pPr>
              <w:pStyle w:val="NormalWeb"/>
              <w:spacing w:before="0" w:beforeAutospacing="0" w:after="0" w:afterAutospacing="0"/>
            </w:pPr>
            <w:r>
              <w:rPr>
                <w:b/>
                <w:bCs/>
                <w:color w:val="000000"/>
                <w:sz w:val="20"/>
                <w:szCs w:val="20"/>
              </w:rPr>
              <w:t>Watch Safety</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1311946F" w14:textId="77777777" w:rsidR="00EA406B" w:rsidRDefault="00EA406B">
            <w:pPr>
              <w:pStyle w:val="NormalWeb"/>
              <w:spacing w:before="0" w:beforeAutospacing="0" w:after="0" w:afterAutospacing="0"/>
            </w:pPr>
            <w:r>
              <w:rPr>
                <w:color w:val="000000"/>
                <w:sz w:val="20"/>
                <w:szCs w:val="20"/>
              </w:rPr>
              <w:t xml:space="preserve">No automatic </w:t>
            </w:r>
            <w:proofErr w:type="spellStart"/>
            <w:r>
              <w:rPr>
                <w:color w:val="000000"/>
                <w:sz w:val="20"/>
                <w:szCs w:val="20"/>
              </w:rPr>
              <w:t>watchkeeper</w:t>
            </w:r>
            <w:proofErr w:type="spellEnd"/>
            <w:r>
              <w:rPr>
                <w:color w:val="000000"/>
                <w:sz w:val="20"/>
                <w:szCs w:val="20"/>
              </w:rPr>
              <w:t xml:space="preserve"> monitoring; entirely human vigilance</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247812AF" w14:textId="77777777" w:rsidR="00EA406B" w:rsidRDefault="00EA406B">
            <w:pPr>
              <w:pStyle w:val="NormalWeb"/>
              <w:spacing w:before="0" w:beforeAutospacing="0" w:after="0" w:afterAutospacing="0"/>
            </w:pPr>
            <w:r>
              <w:rPr>
                <w:color w:val="000000"/>
                <w:sz w:val="20"/>
                <w:szCs w:val="20"/>
              </w:rPr>
              <w:t>BNWAS mandatory alarm escalation; VDR records all events</w:t>
            </w:r>
          </w:p>
        </w:tc>
      </w:tr>
      <w:tr w:rsidR="00EA406B" w14:paraId="0BE46F8D" w14:textId="77777777">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77FEDC37" w14:textId="77777777" w:rsidR="00EA406B" w:rsidRDefault="00EA406B">
            <w:pPr>
              <w:pStyle w:val="NormalWeb"/>
              <w:spacing w:before="0" w:beforeAutospacing="0" w:after="0" w:afterAutospacing="0"/>
            </w:pPr>
            <w:r>
              <w:rPr>
                <w:b/>
                <w:bCs/>
                <w:color w:val="000000"/>
                <w:sz w:val="20"/>
                <w:szCs w:val="20"/>
              </w:rPr>
              <w:t>Cyber Risk</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07532158" w14:textId="77777777" w:rsidR="00EA406B" w:rsidRDefault="00EA406B">
            <w:pPr>
              <w:pStyle w:val="NormalWeb"/>
              <w:spacing w:before="0" w:beforeAutospacing="0" w:after="0" w:afterAutospacing="0"/>
            </w:pPr>
            <w:r>
              <w:rPr>
                <w:color w:val="000000"/>
                <w:sz w:val="20"/>
                <w:szCs w:val="20"/>
              </w:rPr>
              <w:t>No digital systems; no cyber attack surface</w:t>
            </w:r>
          </w:p>
        </w:tc>
        <w:tc>
          <w:tcPr>
            <w:tcW w:w="0" w:type="auto"/>
            <w:tcBorders>
              <w:top w:val="single" w:sz="6" w:space="0" w:color="2E74B5"/>
              <w:left w:val="single" w:sz="6" w:space="0" w:color="2E74B5"/>
              <w:bottom w:val="single" w:sz="6" w:space="0" w:color="2E74B5"/>
              <w:right w:val="single" w:sz="6" w:space="0" w:color="2E74B5"/>
            </w:tcBorders>
            <w:shd w:val="clear" w:color="auto" w:fill="FFFFFF"/>
            <w:tcMar>
              <w:top w:w="80" w:type="dxa"/>
              <w:left w:w="120" w:type="dxa"/>
              <w:bottom w:w="80" w:type="dxa"/>
              <w:right w:w="120" w:type="dxa"/>
            </w:tcMar>
            <w:hideMark/>
          </w:tcPr>
          <w:p w14:paraId="1B32EE16" w14:textId="77777777" w:rsidR="00EA406B" w:rsidRDefault="00EA406B">
            <w:pPr>
              <w:pStyle w:val="NormalWeb"/>
              <w:spacing w:before="0" w:beforeAutospacing="0" w:after="0" w:afterAutospacing="0"/>
            </w:pPr>
            <w:r>
              <w:rPr>
                <w:color w:val="000000"/>
                <w:sz w:val="20"/>
                <w:szCs w:val="20"/>
              </w:rPr>
              <w:t>Networked systems; GPS spoofing, AIS injection, ransomware vulnerabilities</w:t>
            </w:r>
          </w:p>
        </w:tc>
      </w:tr>
      <w:tr w:rsidR="00EA406B" w14:paraId="60790784" w14:textId="77777777">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5598387B" w14:textId="77777777" w:rsidR="00EA406B" w:rsidRDefault="00EA406B">
            <w:pPr>
              <w:pStyle w:val="NormalWeb"/>
              <w:spacing w:before="0" w:beforeAutospacing="0" w:after="0" w:afterAutospacing="0"/>
            </w:pPr>
            <w:r>
              <w:rPr>
                <w:b/>
                <w:bCs/>
                <w:color w:val="000000"/>
                <w:sz w:val="20"/>
                <w:szCs w:val="20"/>
              </w:rPr>
              <w:t>Crew Skill Requirement</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4BBBB2BB" w14:textId="77777777" w:rsidR="00EA406B" w:rsidRDefault="00EA406B">
            <w:pPr>
              <w:pStyle w:val="NormalWeb"/>
              <w:spacing w:before="0" w:beforeAutospacing="0" w:after="0" w:afterAutospacing="0"/>
            </w:pPr>
            <w:r>
              <w:rPr>
                <w:color w:val="000000"/>
                <w:sz w:val="20"/>
                <w:szCs w:val="20"/>
              </w:rPr>
              <w:t xml:space="preserve">Manual plotting; celestial navigation; extensive paper </w:t>
            </w:r>
            <w:proofErr w:type="spellStart"/>
            <w:r>
              <w:rPr>
                <w:color w:val="000000"/>
                <w:sz w:val="20"/>
                <w:szCs w:val="20"/>
              </w:rPr>
              <w:t>chartwork</w:t>
            </w:r>
            <w:proofErr w:type="spellEnd"/>
            <w:r>
              <w:rPr>
                <w:color w:val="000000"/>
                <w:sz w:val="20"/>
                <w:szCs w:val="20"/>
              </w:rPr>
              <w:t>; Morse code</w:t>
            </w:r>
          </w:p>
        </w:tc>
        <w:tc>
          <w:tcPr>
            <w:tcW w:w="0" w:type="auto"/>
            <w:tcBorders>
              <w:top w:val="single" w:sz="6" w:space="0" w:color="2E74B5"/>
              <w:left w:val="single" w:sz="6" w:space="0" w:color="2E74B5"/>
              <w:bottom w:val="single" w:sz="6" w:space="0" w:color="2E74B5"/>
              <w:right w:val="single" w:sz="6" w:space="0" w:color="2E74B5"/>
            </w:tcBorders>
            <w:shd w:val="clear" w:color="auto" w:fill="D6E4F0"/>
            <w:tcMar>
              <w:top w:w="80" w:type="dxa"/>
              <w:left w:w="120" w:type="dxa"/>
              <w:bottom w:w="80" w:type="dxa"/>
              <w:right w:w="120" w:type="dxa"/>
            </w:tcMar>
            <w:hideMark/>
          </w:tcPr>
          <w:p w14:paraId="7AC486EC" w14:textId="77777777" w:rsidR="00EA406B" w:rsidRDefault="00EA406B">
            <w:pPr>
              <w:pStyle w:val="NormalWeb"/>
              <w:spacing w:before="0" w:beforeAutospacing="0" w:after="0" w:afterAutospacing="0"/>
            </w:pPr>
            <w:r>
              <w:rPr>
                <w:color w:val="000000"/>
                <w:sz w:val="20"/>
                <w:szCs w:val="20"/>
              </w:rPr>
              <w:t>ECDIS/ARPA proficiency; IBS operation; cyber awareness; systems management</w:t>
            </w:r>
          </w:p>
        </w:tc>
      </w:tr>
    </w:tbl>
    <w:p w14:paraId="1E222F7E" w14:textId="77777777" w:rsidR="00EA406B" w:rsidRDefault="00EA406B">
      <w:pPr>
        <w:rPr>
          <w:rFonts w:eastAsia="Times New Roman"/>
        </w:rPr>
      </w:pPr>
    </w:p>
    <w:p w14:paraId="2084B4C4" w14:textId="77777777" w:rsidR="00EA406B" w:rsidRDefault="00EA406B">
      <w:pPr>
        <w:pStyle w:val="Heading2"/>
        <w:spacing w:before="300" w:after="160"/>
        <w:rPr>
          <w:rFonts w:eastAsia="Times New Roman"/>
        </w:rPr>
      </w:pPr>
      <w:r>
        <w:rPr>
          <w:rFonts w:eastAsia="Times New Roman"/>
          <w:color w:val="2E74B5"/>
          <w:sz w:val="24"/>
          <w:szCs w:val="24"/>
        </w:rPr>
        <w:t xml:space="preserve">5.6 Bridge </w:t>
      </w:r>
      <w:proofErr w:type="spellStart"/>
      <w:r>
        <w:rPr>
          <w:rFonts w:eastAsia="Times New Roman"/>
          <w:color w:val="2E74B5"/>
          <w:sz w:val="24"/>
          <w:szCs w:val="24"/>
        </w:rPr>
        <w:t>Digitalisation</w:t>
      </w:r>
      <w:proofErr w:type="spellEnd"/>
      <w:r>
        <w:rPr>
          <w:rFonts w:eastAsia="Times New Roman"/>
          <w:color w:val="2E74B5"/>
          <w:sz w:val="24"/>
          <w:szCs w:val="24"/>
        </w:rPr>
        <w:t xml:space="preserve"> in the Nigerian Maritime Context</w:t>
      </w:r>
    </w:p>
    <w:p w14:paraId="1E177B54" w14:textId="77777777" w:rsidR="00EA406B" w:rsidRDefault="00EA406B">
      <w:pPr>
        <w:pStyle w:val="NormalWeb"/>
        <w:spacing w:before="0" w:beforeAutospacing="0" w:after="160" w:afterAutospacing="0"/>
        <w:ind w:firstLine="720"/>
        <w:jc w:val="both"/>
      </w:pPr>
      <w:r>
        <w:rPr>
          <w:color w:val="000000"/>
        </w:rPr>
        <w:t xml:space="preserve">Nigerian-flagged and Nigeria-trading vessels present a mixed but improving picture in terms of bridge </w:t>
      </w:r>
      <w:proofErr w:type="spellStart"/>
      <w:r>
        <w:rPr>
          <w:color w:val="000000"/>
        </w:rPr>
        <w:t>digitalisation</w:t>
      </w:r>
      <w:proofErr w:type="spellEnd"/>
      <w:r>
        <w:rPr>
          <w:color w:val="000000"/>
        </w:rPr>
        <w:t xml:space="preserve">. Large international tankers, bulk carriers, and container ships calling at </w:t>
      </w:r>
      <w:proofErr w:type="spellStart"/>
      <w:r>
        <w:rPr>
          <w:color w:val="000000"/>
        </w:rPr>
        <w:t>Apapa</w:t>
      </w:r>
      <w:proofErr w:type="spellEnd"/>
      <w:r>
        <w:rPr>
          <w:color w:val="000000"/>
        </w:rPr>
        <w:t xml:space="preserve">, Tin Can Island, and </w:t>
      </w:r>
      <w:proofErr w:type="spellStart"/>
      <w:r>
        <w:rPr>
          <w:color w:val="000000"/>
        </w:rPr>
        <w:t>Onne</w:t>
      </w:r>
      <w:proofErr w:type="spellEnd"/>
      <w:r>
        <w:rPr>
          <w:color w:val="000000"/>
        </w:rPr>
        <w:t xml:space="preserve"> are fully equipped with modern IBS installations, ECDIS, and all mandatory GMDSS equipment as a condition of their classification society and flag state certification. The offshore support fleet serving the Niger Delta oil industry is also generally well-equipped, with operator clients such as the IOCs (International Oil Companies) mandating specific IBS and ECDIS standards in their vessel inspection and vetting regimes (NIMASA, 2022).</w:t>
      </w:r>
    </w:p>
    <w:p w14:paraId="05E2FADE" w14:textId="77777777" w:rsidR="00EA406B" w:rsidRDefault="00EA406B">
      <w:pPr>
        <w:pStyle w:val="NormalWeb"/>
        <w:spacing w:before="0" w:beforeAutospacing="0" w:after="160" w:afterAutospacing="0"/>
        <w:ind w:firstLine="720"/>
        <w:jc w:val="both"/>
      </w:pPr>
      <w:r>
        <w:rPr>
          <w:color w:val="000000"/>
        </w:rPr>
        <w:t xml:space="preserve">However, a significant portion of the </w:t>
      </w:r>
      <w:proofErr w:type="spellStart"/>
      <w:r>
        <w:rPr>
          <w:color w:val="000000"/>
        </w:rPr>
        <w:t>cabotage</w:t>
      </w:r>
      <w:proofErr w:type="spellEnd"/>
      <w:r>
        <w:rPr>
          <w:color w:val="000000"/>
        </w:rPr>
        <w:t xml:space="preserve"> fleet and the inland waterways fleet operate on vessels with older, non-integrated bridge equipment where paper charts, standalone radar, and VHF voice radio remain the primary navigational tools. NIMASA's vessel inspection regime, Port State Control enforcement, and the progressive implementation of IMO flag state audit findings are gradually raising equipment standards across these segments. The planned Nigerian National Maritime Awareness System will eventually integrate coastal radar surveillance, AIS receiving stations, GMDSS monitoring, and VTS services at all major Nigerian ports into a unified national maritime situational awareness picture, creating a shore-based complement to the shipboard IBS environment (NIMASA, 2022).</w:t>
      </w:r>
    </w:p>
    <w:p w14:paraId="6FBED6B6" w14:textId="77777777" w:rsidR="00EA406B" w:rsidRDefault="00EA406B">
      <w:pPr>
        <w:pStyle w:val="NormalWeb"/>
        <w:spacing w:before="0" w:beforeAutospacing="0" w:after="160" w:afterAutospacing="0"/>
        <w:ind w:firstLine="720"/>
        <w:jc w:val="both"/>
        <w:rPr>
          <w:color w:val="000000"/>
        </w:rPr>
      </w:pPr>
      <w:r>
        <w:rPr>
          <w:color w:val="000000"/>
        </w:rPr>
        <w:t xml:space="preserve">For the student of maritime science at Rivers State University — trained within sight of the Bonny River and the Niger Delta oil fields — the </w:t>
      </w:r>
      <w:proofErr w:type="spellStart"/>
      <w:r>
        <w:rPr>
          <w:color w:val="000000"/>
        </w:rPr>
        <w:t>digitalisation</w:t>
      </w:r>
      <w:proofErr w:type="spellEnd"/>
      <w:r>
        <w:rPr>
          <w:color w:val="000000"/>
        </w:rPr>
        <w:t xml:space="preserve"> of the ship's bridge is not a distant abstraction. It defines the professional environment into which graduates will step, the tools they must master, and the risks they must manage. A maritime graduate who understands not only how to operate an IBS but why it works, what its limitations are, and how to maintain </w:t>
      </w:r>
      <w:proofErr w:type="spellStart"/>
      <w:r>
        <w:rPr>
          <w:color w:val="000000"/>
        </w:rPr>
        <w:t>watchkeeping</w:t>
      </w:r>
      <w:proofErr w:type="spellEnd"/>
      <w:r>
        <w:rPr>
          <w:color w:val="000000"/>
        </w:rPr>
        <w:t xml:space="preserve"> competence when it fails, is a graduate who will be genuinely valuable to any shipping company operating in Nigerian or international waters.</w:t>
      </w:r>
    </w:p>
    <w:p w14:paraId="492B2117" w14:textId="77777777" w:rsidR="004341C0" w:rsidRDefault="004341C0">
      <w:pPr>
        <w:pStyle w:val="NormalWeb"/>
        <w:spacing w:before="0" w:beforeAutospacing="0" w:after="160" w:afterAutospacing="0"/>
        <w:ind w:firstLine="720"/>
        <w:jc w:val="both"/>
        <w:rPr>
          <w:color w:val="000000"/>
        </w:rPr>
      </w:pPr>
    </w:p>
    <w:p w14:paraId="42F526AF" w14:textId="77777777" w:rsidR="004341C0" w:rsidRDefault="004341C0">
      <w:pPr>
        <w:pStyle w:val="NormalWeb"/>
        <w:spacing w:before="0" w:beforeAutospacing="0" w:after="160" w:afterAutospacing="0"/>
        <w:ind w:firstLine="720"/>
        <w:jc w:val="both"/>
        <w:rPr>
          <w:color w:val="000000"/>
        </w:rPr>
      </w:pPr>
    </w:p>
    <w:p w14:paraId="2D495F35" w14:textId="77777777" w:rsidR="004341C0" w:rsidRDefault="004341C0">
      <w:pPr>
        <w:pStyle w:val="NormalWeb"/>
        <w:spacing w:before="0" w:beforeAutospacing="0" w:after="160" w:afterAutospacing="0"/>
        <w:ind w:firstLine="720"/>
        <w:jc w:val="both"/>
      </w:pPr>
    </w:p>
    <w:p w14:paraId="272E88DD" w14:textId="6592B96A" w:rsidR="00D75C50" w:rsidRPr="00D75C50" w:rsidRDefault="00EA406B" w:rsidP="00D75C50">
      <w:pPr>
        <w:pStyle w:val="Heading1"/>
        <w:spacing w:before="400" w:after="200"/>
        <w:rPr>
          <w:rFonts w:eastAsia="Times New Roman"/>
          <w:color w:val="1F4E79"/>
          <w:sz w:val="28"/>
          <w:szCs w:val="28"/>
        </w:rPr>
      </w:pPr>
      <w:r>
        <w:rPr>
          <w:rFonts w:eastAsia="Times New Roman"/>
          <w:color w:val="1F4E79"/>
          <w:sz w:val="28"/>
          <w:szCs w:val="28"/>
        </w:rPr>
        <w:t>GENERAL CONCLUSION AND RECOMMENDATIONS</w:t>
      </w:r>
    </w:p>
    <w:p w14:paraId="121ABF1A" w14:textId="0E6347E7" w:rsidR="00D75C50" w:rsidRPr="00D75C50" w:rsidRDefault="00D75C50" w:rsidP="00D75C50">
      <w:pPr>
        <w:rPr>
          <w:color w:val="0E2841" w:themeColor="text2"/>
        </w:rPr>
      </w:pPr>
      <w:r w:rsidRPr="00D75C50">
        <w:rPr>
          <w:color w:val="0E2841" w:themeColor="text2"/>
        </w:rPr>
        <w:t>Recommendations</w:t>
      </w:r>
    </w:p>
    <w:p w14:paraId="5DE15D5F" w14:textId="32F9BF1D" w:rsidR="00D75C50" w:rsidRDefault="00D75C50" w:rsidP="00D75C50">
      <w:pPr>
        <w:pStyle w:val="ListParagraph"/>
        <w:numPr>
          <w:ilvl w:val="0"/>
          <w:numId w:val="3"/>
        </w:numPr>
      </w:pPr>
      <w:r>
        <w:t>Every GMDSS-equipped vessel operating in Nigerian or Gulf of Guinea waters should conduct monthly testing of all GMDSS equipment — DSC controllers, EPIRBs (non-activating test), SARTs, NAVTEX, and INMARSAT — and maintain a GMDSS equipment log to evidence compliance with SOLAS Chapter IV requirements.</w:t>
      </w:r>
    </w:p>
    <w:p w14:paraId="748E08D4" w14:textId="0010D2B5" w:rsidR="00D75C50" w:rsidRDefault="00D75C50" w:rsidP="00D75C50">
      <w:pPr>
        <w:pStyle w:val="ListParagraph"/>
        <w:numPr>
          <w:ilvl w:val="0"/>
          <w:numId w:val="3"/>
        </w:numPr>
      </w:pPr>
      <w:r>
        <w:t>Officers of the watch on vessels in Nigerian coastal waters should apply conservative CPA guard zone settings on ARPA — not less than 1.5 nautical miles in open waters and 0.5 nautical miles in port approaches — to provide early warning of developing close-quarters situations in the dense and mixed-traffic environment of the Niger Delta.</w:t>
      </w:r>
    </w:p>
    <w:p w14:paraId="766D95D0" w14:textId="3E80834D" w:rsidR="00D75C50" w:rsidRDefault="00D75C50" w:rsidP="00D75C50">
      <w:pPr>
        <w:pStyle w:val="ListParagraph"/>
        <w:numPr>
          <w:ilvl w:val="0"/>
          <w:numId w:val="3"/>
        </w:numPr>
      </w:pPr>
      <w:r>
        <w:t xml:space="preserve">Bridge </w:t>
      </w:r>
      <w:proofErr w:type="spellStart"/>
      <w:r>
        <w:t>watchkeeping</w:t>
      </w:r>
      <w:proofErr w:type="spellEnd"/>
      <w:r>
        <w:t xml:space="preserve"> procedures on all vessels should include a formal radar plotting exercise — either manual or ARPA verification — for every target within 6 nautical miles whose CPA is below the guard zone setting, as required by the systematic observation standard of COLREG Rule 7(b) and 7(c).</w:t>
      </w:r>
    </w:p>
    <w:p w14:paraId="153B7D0B" w14:textId="046AC4C6" w:rsidR="00D75C50" w:rsidRDefault="00D75C50" w:rsidP="00D75C50">
      <w:pPr>
        <w:pStyle w:val="ListParagraph"/>
        <w:numPr>
          <w:ilvl w:val="0"/>
          <w:numId w:val="3"/>
        </w:numPr>
      </w:pPr>
      <w:r>
        <w:t>All charts carried on vessels operating in Nigerian waters must be maintained with current Notices to Mariners from both the UKHO and NPA, and ECDIS operators must verify the age and quality of ENC survey data using the Source Data Diagram before entering shallow or poorly surveyed coastal areas.</w:t>
      </w:r>
    </w:p>
    <w:p w14:paraId="6CEDB214" w14:textId="19C7D9B3" w:rsidR="00D75C50" w:rsidRDefault="00D75C50" w:rsidP="00D75C50">
      <w:pPr>
        <w:pStyle w:val="ListParagraph"/>
        <w:numPr>
          <w:ilvl w:val="0"/>
          <w:numId w:val="3"/>
        </w:numPr>
      </w:pPr>
      <w:r>
        <w:t xml:space="preserve">Maritime training institutions in Nigeria, including Rivers State University, should expand their ECDIS simulation and IBS </w:t>
      </w:r>
      <w:proofErr w:type="spellStart"/>
      <w:r>
        <w:t>familiarisation</w:t>
      </w:r>
      <w:proofErr w:type="spellEnd"/>
      <w:r>
        <w:t xml:space="preserve"> </w:t>
      </w:r>
      <w:proofErr w:type="spellStart"/>
      <w:r>
        <w:t>programmes</w:t>
      </w:r>
      <w:proofErr w:type="spellEnd"/>
      <w:r>
        <w:t xml:space="preserve"> to include cyber security awareness modules, BNWAS alarm management exercises, and deliberate </w:t>
      </w:r>
      <w:proofErr w:type="spellStart"/>
      <w:r>
        <w:t>practise</w:t>
      </w:r>
      <w:proofErr w:type="spellEnd"/>
      <w:r>
        <w:t xml:space="preserve"> of manual paper chart navigation as a fallback skill, ensuring that graduates are both digitally proficient and robustly competent when digital systems fail.</w:t>
      </w:r>
    </w:p>
    <w:p w14:paraId="75D5AD96" w14:textId="58226D11" w:rsidR="00D75C50" w:rsidRDefault="00D75C50" w:rsidP="00D75C50">
      <w:pPr>
        <w:pStyle w:val="ListParagraph"/>
        <w:numPr>
          <w:ilvl w:val="0"/>
          <w:numId w:val="3"/>
        </w:numPr>
      </w:pPr>
      <w:r>
        <w:t>NIMASA should accelerate the deployment of additional NAVTEX transmitters along the Nigerian coastline to provide complete NAVTEX coverage of the exclusive economic zone, ensuring that all vessels in Nigerian waters can receive maritime safety information — including piracy warnings — through the mandatory GMDSS MSI infrastructure.</w:t>
      </w:r>
    </w:p>
    <w:p w14:paraId="738CD248" w14:textId="77777777" w:rsidR="00D75C50" w:rsidRDefault="00D75C50" w:rsidP="00D75C50">
      <w:pPr>
        <w:pStyle w:val="ListParagraph"/>
      </w:pPr>
    </w:p>
    <w:p w14:paraId="72412ECA" w14:textId="77777777" w:rsidR="004341C0" w:rsidRDefault="004341C0" w:rsidP="00D75C50"/>
    <w:p w14:paraId="0814EB18" w14:textId="77777777" w:rsidR="004341C0" w:rsidRPr="00D75C50" w:rsidRDefault="004341C0" w:rsidP="00D75C50"/>
    <w:p w14:paraId="2AB02298" w14:textId="4B5D3345" w:rsidR="009D6788" w:rsidRPr="009D6788" w:rsidRDefault="009D6788" w:rsidP="009D6788">
      <w:r w:rsidRPr="009D6788">
        <w:rPr>
          <w:color w:val="0E2841" w:themeColor="text2"/>
        </w:rPr>
        <w:t>Conclusion</w:t>
      </w:r>
      <w:r>
        <w:t xml:space="preserve"> </w:t>
      </w:r>
    </w:p>
    <w:p w14:paraId="0E56D165" w14:textId="77777777" w:rsidR="00FB0D8C" w:rsidRDefault="00FB0D8C" w:rsidP="00874A72">
      <w:r>
        <w:t xml:space="preserve">Modern coastal navigation relies on a robust foundation of global safety infrastructure, strict regulatory compliance, and systematic risk management. The **Global Maritime Distress and Safety System (GMDSS)** serves as a multi-layered, satellite-driven emergency architecture vital for survival, particularly for Nigerian seafarers facing complex security threats in the Gulf of Guinea. Complementing this safety net is the **Closest Point of Approach (CPA)**, the mathematical core of collision avoidance. Governed by the rigorous mandates of **COLREG Rule 7**, CPA analysis demands an active and vigilant </w:t>
      </w:r>
      <w:proofErr w:type="spellStart"/>
      <w:r>
        <w:t>watchkeeping</w:t>
      </w:r>
      <w:proofErr w:type="spellEnd"/>
      <w:r>
        <w:t xml:space="preserve"> posture, forcing navigators to treat any situational doubt as a certain risk and utilize all available radar data to eliminate dangerous assumptions.</w:t>
      </w:r>
    </w:p>
    <w:p w14:paraId="33ABCC89" w14:textId="77777777" w:rsidR="00FB0D8C" w:rsidRDefault="00FB0D8C" w:rsidP="00874A72">
      <w:r>
        <w:t>Simultaneously, the maritime profession is undergoing a profound technological evolution driven by spatial intelligence and bridge digitalization. The transition to **Electronic Chart Display and Information Systems (ECDIS)** has drastically enhanced navigational precision and currency, though it introduces unique vulnerabilities that require critical human oversight. This shift feeds into a broader transformation encompassing **Integrated Bridge Systems (IBS)**, e-Navigation, cyber security, and autonomous vessels (**MASS**). Ultimately, these pillars redefine the role of the modern navigating officer, transforming them from a traditional mariner into a technically fluent manager of sophisticated digital networks.</w:t>
      </w:r>
    </w:p>
    <w:p w14:paraId="60D26A20" w14:textId="77777777" w:rsidR="00FB0D8C" w:rsidRPr="00874A72" w:rsidRDefault="00FB0D8C" w:rsidP="00874A72"/>
    <w:p w14:paraId="6ACFDDB7" w14:textId="77777777" w:rsidR="00395CAD" w:rsidRDefault="00395CAD">
      <w:pPr>
        <w:pStyle w:val="NormalWeb"/>
        <w:spacing w:before="0" w:beforeAutospacing="0" w:after="200" w:afterAutospacing="0"/>
        <w:jc w:val="center"/>
        <w:rPr>
          <w:b/>
          <w:bCs/>
          <w:smallCaps/>
          <w:color w:val="1F4E79"/>
          <w:sz w:val="28"/>
          <w:szCs w:val="28"/>
        </w:rPr>
      </w:pPr>
    </w:p>
    <w:p w14:paraId="2B8FD68A" w14:textId="77777777" w:rsidR="00395CAD" w:rsidRDefault="00395CAD">
      <w:pPr>
        <w:pStyle w:val="NormalWeb"/>
        <w:spacing w:before="0" w:beforeAutospacing="0" w:after="200" w:afterAutospacing="0"/>
        <w:jc w:val="center"/>
        <w:rPr>
          <w:b/>
          <w:bCs/>
          <w:smallCaps/>
          <w:color w:val="1F4E79"/>
          <w:sz w:val="28"/>
          <w:szCs w:val="28"/>
        </w:rPr>
      </w:pPr>
    </w:p>
    <w:p w14:paraId="7A410DB6" w14:textId="77777777" w:rsidR="00395CAD" w:rsidRDefault="00395CAD">
      <w:pPr>
        <w:pStyle w:val="NormalWeb"/>
        <w:spacing w:before="0" w:beforeAutospacing="0" w:after="200" w:afterAutospacing="0"/>
        <w:jc w:val="center"/>
        <w:rPr>
          <w:b/>
          <w:bCs/>
          <w:smallCaps/>
          <w:color w:val="1F4E79"/>
          <w:sz w:val="28"/>
          <w:szCs w:val="28"/>
        </w:rPr>
      </w:pPr>
    </w:p>
    <w:p w14:paraId="6F7733E7" w14:textId="77777777" w:rsidR="00395CAD" w:rsidRDefault="00395CAD">
      <w:pPr>
        <w:pStyle w:val="NormalWeb"/>
        <w:spacing w:before="0" w:beforeAutospacing="0" w:after="200" w:afterAutospacing="0"/>
        <w:jc w:val="center"/>
        <w:rPr>
          <w:b/>
          <w:bCs/>
          <w:smallCaps/>
          <w:color w:val="1F4E79"/>
          <w:sz w:val="28"/>
          <w:szCs w:val="28"/>
        </w:rPr>
      </w:pPr>
    </w:p>
    <w:p w14:paraId="1F6EC3AB" w14:textId="77777777" w:rsidR="00395CAD" w:rsidRDefault="00395CAD">
      <w:pPr>
        <w:pStyle w:val="NormalWeb"/>
        <w:spacing w:before="0" w:beforeAutospacing="0" w:after="200" w:afterAutospacing="0"/>
        <w:jc w:val="center"/>
        <w:rPr>
          <w:b/>
          <w:bCs/>
          <w:smallCaps/>
          <w:color w:val="1F4E79"/>
          <w:sz w:val="28"/>
          <w:szCs w:val="28"/>
        </w:rPr>
      </w:pPr>
    </w:p>
    <w:p w14:paraId="1BDC83E6" w14:textId="77777777" w:rsidR="00395CAD" w:rsidRDefault="00395CAD">
      <w:pPr>
        <w:pStyle w:val="NormalWeb"/>
        <w:spacing w:before="0" w:beforeAutospacing="0" w:after="200" w:afterAutospacing="0"/>
        <w:jc w:val="center"/>
        <w:rPr>
          <w:b/>
          <w:bCs/>
          <w:smallCaps/>
          <w:color w:val="1F4E79"/>
          <w:sz w:val="28"/>
          <w:szCs w:val="28"/>
        </w:rPr>
      </w:pPr>
    </w:p>
    <w:p w14:paraId="7935B790" w14:textId="77777777" w:rsidR="00063256" w:rsidRDefault="00063256">
      <w:pPr>
        <w:pStyle w:val="NormalWeb"/>
        <w:spacing w:before="0" w:beforeAutospacing="0" w:after="200" w:afterAutospacing="0"/>
        <w:jc w:val="center"/>
        <w:rPr>
          <w:b/>
          <w:bCs/>
          <w:smallCaps/>
          <w:color w:val="1F4E79"/>
          <w:sz w:val="28"/>
          <w:szCs w:val="28"/>
        </w:rPr>
      </w:pPr>
    </w:p>
    <w:p w14:paraId="7F3E3F19" w14:textId="77777777" w:rsidR="004341C0" w:rsidRDefault="004341C0">
      <w:pPr>
        <w:pStyle w:val="NormalWeb"/>
        <w:spacing w:before="0" w:beforeAutospacing="0" w:after="200" w:afterAutospacing="0"/>
        <w:jc w:val="center"/>
        <w:rPr>
          <w:b/>
          <w:bCs/>
          <w:smallCaps/>
          <w:color w:val="1F4E79"/>
          <w:sz w:val="28"/>
          <w:szCs w:val="28"/>
        </w:rPr>
      </w:pPr>
    </w:p>
    <w:p w14:paraId="4C2B6232" w14:textId="77777777" w:rsidR="004341C0" w:rsidRDefault="004341C0">
      <w:pPr>
        <w:pStyle w:val="NormalWeb"/>
        <w:spacing w:before="0" w:beforeAutospacing="0" w:after="200" w:afterAutospacing="0"/>
        <w:jc w:val="center"/>
        <w:rPr>
          <w:b/>
          <w:bCs/>
          <w:smallCaps/>
          <w:color w:val="1F4E79"/>
          <w:sz w:val="28"/>
          <w:szCs w:val="28"/>
        </w:rPr>
      </w:pPr>
    </w:p>
    <w:p w14:paraId="27C8359D" w14:textId="07979AD1" w:rsidR="00395CAD" w:rsidRDefault="00395CAD" w:rsidP="004341C0">
      <w:pPr>
        <w:pStyle w:val="NormalWeb"/>
        <w:spacing w:before="0" w:beforeAutospacing="0" w:after="200" w:afterAutospacing="0"/>
        <w:rPr>
          <w:b/>
          <w:bCs/>
          <w:smallCaps/>
          <w:color w:val="1F4E79"/>
          <w:sz w:val="28"/>
          <w:szCs w:val="28"/>
        </w:rPr>
      </w:pPr>
    </w:p>
    <w:p w14:paraId="642E5531" w14:textId="2CB7F1E9" w:rsidR="00EA406B" w:rsidRDefault="00EA406B">
      <w:pPr>
        <w:pStyle w:val="NormalWeb"/>
        <w:spacing w:before="0" w:beforeAutospacing="0" w:after="200" w:afterAutospacing="0"/>
        <w:jc w:val="center"/>
      </w:pPr>
      <w:r>
        <w:rPr>
          <w:b/>
          <w:bCs/>
          <w:smallCaps/>
          <w:color w:val="1F4E79"/>
          <w:sz w:val="28"/>
          <w:szCs w:val="28"/>
        </w:rPr>
        <w:lastRenderedPageBreak/>
        <w:t>REFERENCES</w:t>
      </w:r>
    </w:p>
    <w:p w14:paraId="60871D5A" w14:textId="77777777" w:rsidR="00EA406B" w:rsidRDefault="00EA406B">
      <w:pPr>
        <w:pStyle w:val="NormalWeb"/>
        <w:pBdr>
          <w:bottom w:val="single" w:sz="8" w:space="1" w:color="1F4E79"/>
        </w:pBdr>
        <w:spacing w:before="0" w:beforeAutospacing="0" w:after="200" w:afterAutospacing="0"/>
      </w:pPr>
    </w:p>
    <w:p w14:paraId="3A7DFCC2" w14:textId="77777777" w:rsidR="00EA406B" w:rsidRDefault="00EA406B">
      <w:pPr>
        <w:pStyle w:val="NormalWeb"/>
        <w:spacing w:before="0" w:beforeAutospacing="0" w:after="160" w:afterAutospacing="0"/>
        <w:ind w:hanging="720"/>
        <w:jc w:val="both"/>
      </w:pPr>
      <w:r>
        <w:rPr>
          <w:color w:val="000000"/>
        </w:rPr>
        <w:t>Admiralty. (2022). The mariner's handbook (10th ed.). United Kingdom Hydrographic Office.</w:t>
      </w:r>
    </w:p>
    <w:p w14:paraId="0E566A02" w14:textId="77777777" w:rsidR="00EA406B" w:rsidRDefault="00EA406B">
      <w:pPr>
        <w:pStyle w:val="NormalWeb"/>
        <w:spacing w:before="0" w:beforeAutospacing="0" w:after="160" w:afterAutospacing="0"/>
        <w:ind w:hanging="720"/>
        <w:jc w:val="both"/>
      </w:pPr>
      <w:r>
        <w:rPr>
          <w:color w:val="000000"/>
        </w:rPr>
        <w:t>Bole, A., Wall, A., &amp; Norris, A. (2021). Radar and ARPA manual: Radar, AIS and target tracking for marine radar users (3rd ed.). Butterworth-Heinemann.</w:t>
      </w:r>
    </w:p>
    <w:p w14:paraId="242D85CD" w14:textId="77777777" w:rsidR="00EA406B" w:rsidRDefault="00EA406B">
      <w:pPr>
        <w:pStyle w:val="NormalWeb"/>
        <w:spacing w:before="0" w:beforeAutospacing="0" w:after="160" w:afterAutospacing="0"/>
        <w:ind w:hanging="720"/>
        <w:jc w:val="both"/>
      </w:pPr>
      <w:r>
        <w:rPr>
          <w:color w:val="000000"/>
        </w:rPr>
        <w:t>Bowditch, N. (2017). The American practical navigator: An epitome of navigation (Bicentennial ed.). National Geospatial-Intelligence Agency.</w:t>
      </w:r>
    </w:p>
    <w:p w14:paraId="0172D05C" w14:textId="77777777" w:rsidR="00EA406B" w:rsidRDefault="00EA406B">
      <w:pPr>
        <w:pStyle w:val="NormalWeb"/>
        <w:spacing w:before="0" w:beforeAutospacing="0" w:after="160" w:afterAutospacing="0"/>
        <w:ind w:hanging="720"/>
        <w:jc w:val="both"/>
      </w:pPr>
      <w:r>
        <w:rPr>
          <w:color w:val="000000"/>
        </w:rPr>
        <w:t xml:space="preserve">Cockcroft, A. N., &amp; </w:t>
      </w:r>
      <w:proofErr w:type="spellStart"/>
      <w:r>
        <w:rPr>
          <w:color w:val="000000"/>
        </w:rPr>
        <w:t>Lameijer</w:t>
      </w:r>
      <w:proofErr w:type="spellEnd"/>
      <w:r>
        <w:rPr>
          <w:color w:val="000000"/>
        </w:rPr>
        <w:t>, J. N. F. (2018). A guide to the collision avoidance rules: International regulations for preventing collisions at sea (8th ed.). Butterworth-Heinemann.</w:t>
      </w:r>
    </w:p>
    <w:p w14:paraId="2CB00675" w14:textId="77777777" w:rsidR="00EA406B" w:rsidRDefault="00EA406B">
      <w:pPr>
        <w:pStyle w:val="NormalWeb"/>
        <w:spacing w:before="0" w:beforeAutospacing="0" w:after="160" w:afterAutospacing="0"/>
        <w:ind w:hanging="720"/>
        <w:jc w:val="both"/>
      </w:pPr>
      <w:r>
        <w:rPr>
          <w:color w:val="000000"/>
        </w:rPr>
        <w:t xml:space="preserve">Grabowski, M., </w:t>
      </w:r>
      <w:proofErr w:type="spellStart"/>
      <w:r>
        <w:rPr>
          <w:color w:val="000000"/>
        </w:rPr>
        <w:t>Szymonik</w:t>
      </w:r>
      <w:proofErr w:type="spellEnd"/>
      <w:r>
        <w:rPr>
          <w:color w:val="000000"/>
        </w:rPr>
        <w:t xml:space="preserve">, A., &amp; </w:t>
      </w:r>
      <w:proofErr w:type="spellStart"/>
      <w:r>
        <w:rPr>
          <w:color w:val="000000"/>
        </w:rPr>
        <w:t>Furlepa</w:t>
      </w:r>
      <w:proofErr w:type="spellEnd"/>
      <w:r>
        <w:rPr>
          <w:color w:val="000000"/>
        </w:rPr>
        <w:t>, M. (2021). Integrated bridge systems: Evolution, challenges and the human factors dimension. Journal of Navigation, 74(3), 581–601. https://doi.org/10.1017/S0373463321000126</w:t>
      </w:r>
    </w:p>
    <w:p w14:paraId="77F47059" w14:textId="77777777" w:rsidR="00EA406B" w:rsidRDefault="00EA406B">
      <w:pPr>
        <w:pStyle w:val="NormalWeb"/>
        <w:spacing w:before="0" w:beforeAutospacing="0" w:after="160" w:afterAutospacing="0"/>
        <w:ind w:hanging="720"/>
        <w:jc w:val="both"/>
      </w:pPr>
      <w:r>
        <w:rPr>
          <w:color w:val="000000"/>
        </w:rPr>
        <w:t>International Maritime Organization. (2016). International aeronautical and maritime search and rescue (IAMSAR) manual (Vol. I–III). IMO Publishing.</w:t>
      </w:r>
    </w:p>
    <w:p w14:paraId="7786F45C" w14:textId="77777777" w:rsidR="00EA406B" w:rsidRDefault="00EA406B">
      <w:pPr>
        <w:pStyle w:val="NormalWeb"/>
        <w:spacing w:before="0" w:beforeAutospacing="0" w:after="160" w:afterAutospacing="0"/>
        <w:ind w:hanging="720"/>
        <w:jc w:val="both"/>
      </w:pPr>
      <w:r>
        <w:rPr>
          <w:color w:val="000000"/>
        </w:rPr>
        <w:t>International Maritime Organization. (2018). GMDSS manual (2018 edition). IMO Publishing.</w:t>
      </w:r>
    </w:p>
    <w:p w14:paraId="0F5976C5" w14:textId="77777777" w:rsidR="00EA406B" w:rsidRDefault="00EA406B">
      <w:pPr>
        <w:pStyle w:val="NormalWeb"/>
        <w:spacing w:before="0" w:beforeAutospacing="0" w:after="160" w:afterAutospacing="0"/>
        <w:ind w:hanging="720"/>
        <w:jc w:val="both"/>
      </w:pPr>
      <w:r>
        <w:rPr>
          <w:color w:val="000000"/>
        </w:rPr>
        <w:t>International Maritime Organization. (2019). e-Navigation strategy implementation plan update 1 (MSC.1/Circ.1595). IMO Publishing.</w:t>
      </w:r>
    </w:p>
    <w:p w14:paraId="762E1517" w14:textId="77777777" w:rsidR="00EA406B" w:rsidRDefault="00EA406B">
      <w:pPr>
        <w:pStyle w:val="NormalWeb"/>
        <w:spacing w:before="0" w:beforeAutospacing="0" w:after="160" w:afterAutospacing="0"/>
        <w:ind w:hanging="720"/>
        <w:jc w:val="both"/>
      </w:pPr>
      <w:r>
        <w:rPr>
          <w:color w:val="000000"/>
        </w:rPr>
        <w:t>International Maritime Organization. (2020). International regulations for preventing collisions at sea, 1972: As amended. IMO Publishing.</w:t>
      </w:r>
    </w:p>
    <w:p w14:paraId="60EC1607" w14:textId="77777777" w:rsidR="00EA406B" w:rsidRDefault="00EA406B">
      <w:pPr>
        <w:pStyle w:val="NormalWeb"/>
        <w:spacing w:before="0" w:beforeAutospacing="0" w:after="160" w:afterAutospacing="0"/>
        <w:ind w:hanging="720"/>
        <w:jc w:val="both"/>
      </w:pPr>
      <w:r>
        <w:rPr>
          <w:color w:val="000000"/>
        </w:rPr>
        <w:t>Nigerian Maritime Administration and Safety Agency. (2022). Annual report on Nigerian maritime safety and security. NIMASA.</w:t>
      </w:r>
    </w:p>
    <w:p w14:paraId="5C16025A" w14:textId="77777777" w:rsidR="00EA406B" w:rsidRDefault="00EA406B">
      <w:pPr>
        <w:pStyle w:val="NormalWeb"/>
        <w:spacing w:before="0" w:beforeAutospacing="0" w:after="160" w:afterAutospacing="0"/>
        <w:ind w:hanging="720"/>
        <w:jc w:val="both"/>
      </w:pPr>
      <w:proofErr w:type="spellStart"/>
      <w:r>
        <w:rPr>
          <w:color w:val="000000"/>
        </w:rPr>
        <w:t>Nordström</w:t>
      </w:r>
      <w:proofErr w:type="spellEnd"/>
      <w:r>
        <w:rPr>
          <w:color w:val="000000"/>
        </w:rPr>
        <w:t xml:space="preserve">, J., &amp; </w:t>
      </w:r>
      <w:proofErr w:type="spellStart"/>
      <w:r>
        <w:rPr>
          <w:color w:val="000000"/>
        </w:rPr>
        <w:t>Götberg</w:t>
      </w:r>
      <w:proofErr w:type="spellEnd"/>
      <w:r>
        <w:rPr>
          <w:color w:val="000000"/>
        </w:rPr>
        <w:t>, O. (2020). GMDSS: Principles and operational practice in modern maritime communications. Nordic Maritime Academy Press.</w:t>
      </w:r>
    </w:p>
    <w:p w14:paraId="5365218B" w14:textId="77777777" w:rsidR="00EA406B" w:rsidRDefault="00EA406B">
      <w:pPr>
        <w:pStyle w:val="NormalWeb"/>
        <w:spacing w:before="0" w:beforeAutospacing="0" w:after="160" w:afterAutospacing="0"/>
        <w:ind w:hanging="720"/>
        <w:jc w:val="both"/>
      </w:pPr>
      <w:r>
        <w:rPr>
          <w:color w:val="000000"/>
        </w:rPr>
        <w:t>Pereira, T., &amp; Bernardino, J. (2021). Global Maritime Distress and Safety System performance evaluation in the Gulf of Guinea: A review of operational gaps and policy implications. Maritime Policy &amp; Management, 48(5), 702–720. https://doi.org/10.1080/03088839.2020.1815726</w:t>
      </w:r>
    </w:p>
    <w:p w14:paraId="69C4AC15" w14:textId="77777777" w:rsidR="00EA406B" w:rsidRDefault="00EA406B">
      <w:pPr>
        <w:pStyle w:val="NormalWeb"/>
        <w:spacing w:before="0" w:beforeAutospacing="0" w:after="160" w:afterAutospacing="0"/>
        <w:ind w:hanging="720"/>
        <w:jc w:val="both"/>
      </w:pPr>
      <w:r>
        <w:rPr>
          <w:color w:val="000000"/>
        </w:rPr>
        <w:t>United Kingdom Hydrographic Office. (2023). AVCS and ENC data quality: Navigator's guide to electronic charts (3rd ed.). UKHO.</w:t>
      </w:r>
    </w:p>
    <w:p w14:paraId="390A929F" w14:textId="77777777" w:rsidR="00EA406B" w:rsidRDefault="00EA406B">
      <w:pPr>
        <w:pStyle w:val="NormalWeb"/>
        <w:spacing w:before="0" w:beforeAutospacing="0" w:after="160" w:afterAutospacing="0"/>
        <w:ind w:hanging="720"/>
        <w:jc w:val="both"/>
      </w:pPr>
      <w:proofErr w:type="spellStart"/>
      <w:r>
        <w:rPr>
          <w:color w:val="000000"/>
        </w:rPr>
        <w:t>Wróbel</w:t>
      </w:r>
      <w:proofErr w:type="spellEnd"/>
      <w:r>
        <w:rPr>
          <w:color w:val="000000"/>
        </w:rPr>
        <w:t xml:space="preserve">, K., </w:t>
      </w:r>
      <w:proofErr w:type="spellStart"/>
      <w:r>
        <w:rPr>
          <w:color w:val="000000"/>
        </w:rPr>
        <w:t>Krata</w:t>
      </w:r>
      <w:proofErr w:type="spellEnd"/>
      <w:r>
        <w:rPr>
          <w:color w:val="000000"/>
        </w:rPr>
        <w:t xml:space="preserve">, P., &amp; </w:t>
      </w:r>
      <w:proofErr w:type="spellStart"/>
      <w:r>
        <w:rPr>
          <w:color w:val="000000"/>
        </w:rPr>
        <w:t>Szlapczynski</w:t>
      </w:r>
      <w:proofErr w:type="spellEnd"/>
      <w:r>
        <w:rPr>
          <w:color w:val="000000"/>
        </w:rPr>
        <w:t xml:space="preserve">, R. (2017). Towards the </w:t>
      </w:r>
      <w:proofErr w:type="spellStart"/>
      <w:r>
        <w:rPr>
          <w:color w:val="000000"/>
        </w:rPr>
        <w:t>standardisation</w:t>
      </w:r>
      <w:proofErr w:type="spellEnd"/>
      <w:r>
        <w:rPr>
          <w:color w:val="000000"/>
        </w:rPr>
        <w:t xml:space="preserve"> of integrated bridge systems for autonomous and remotely operated vessels. Ocean Engineering, 142, 458–467. https://doi.org/10.1016/j.oceaneng.2017.07.027</w:t>
      </w:r>
    </w:p>
    <w:p w14:paraId="1429DB55" w14:textId="77777777" w:rsidR="00EA406B" w:rsidRDefault="00EA406B"/>
    <w:sectPr w:rsidR="00EA406B">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599DC" w14:textId="77777777" w:rsidR="003B5E8E" w:rsidRDefault="003B5E8E" w:rsidP="003B5E8E">
      <w:pPr>
        <w:spacing w:after="0" w:line="240" w:lineRule="auto"/>
      </w:pPr>
      <w:r>
        <w:separator/>
      </w:r>
    </w:p>
  </w:endnote>
  <w:endnote w:type="continuationSeparator" w:id="0">
    <w:p w14:paraId="01F94D6F" w14:textId="77777777" w:rsidR="003B5E8E" w:rsidRDefault="003B5E8E" w:rsidP="003B5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4558211"/>
      <w:docPartObj>
        <w:docPartGallery w:val="Page Numbers (Bottom of Page)"/>
        <w:docPartUnique/>
      </w:docPartObj>
    </w:sdtPr>
    <w:sdtContent>
      <w:p w14:paraId="75657660" w14:textId="2149075D" w:rsidR="004341C0" w:rsidRDefault="004341C0" w:rsidP="009A61BB">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AA75E1" w14:textId="77777777" w:rsidR="004341C0" w:rsidRDefault="004341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87417014"/>
      <w:docPartObj>
        <w:docPartGallery w:val="Page Numbers (Bottom of Page)"/>
        <w:docPartUnique/>
      </w:docPartObj>
    </w:sdtPr>
    <w:sdtContent>
      <w:p w14:paraId="68CAE7E7" w14:textId="5CA90933" w:rsidR="004341C0" w:rsidRDefault="004341C0" w:rsidP="009A61BB">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24</w:t>
        </w:r>
        <w:r>
          <w:rPr>
            <w:rStyle w:val="PageNumber"/>
          </w:rPr>
          <w:fldChar w:fldCharType="end"/>
        </w:r>
      </w:p>
    </w:sdtContent>
  </w:sdt>
  <w:p w14:paraId="08353BAD" w14:textId="77777777" w:rsidR="004341C0" w:rsidRDefault="004341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B7B57" w14:textId="77777777" w:rsidR="003B5E8E" w:rsidRDefault="003B5E8E" w:rsidP="003B5E8E">
      <w:pPr>
        <w:spacing w:after="0" w:line="240" w:lineRule="auto"/>
      </w:pPr>
      <w:r>
        <w:separator/>
      </w:r>
    </w:p>
  </w:footnote>
  <w:footnote w:type="continuationSeparator" w:id="0">
    <w:p w14:paraId="6EA9F099" w14:textId="77777777" w:rsidR="003B5E8E" w:rsidRDefault="003B5E8E" w:rsidP="003B5E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4359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1B435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C6453E"/>
    <w:multiLevelType w:val="hybridMultilevel"/>
    <w:tmpl w:val="98E2A75E"/>
    <w:lvl w:ilvl="0" w:tplc="FFFFFFFF">
      <w:start w:val="4"/>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1150609">
    <w:abstractNumId w:val="1"/>
  </w:num>
  <w:num w:numId="2" w16cid:durableId="1708262423">
    <w:abstractNumId w:val="0"/>
  </w:num>
  <w:num w:numId="3" w16cid:durableId="3210837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06B"/>
    <w:rsid w:val="00063256"/>
    <w:rsid w:val="00277D83"/>
    <w:rsid w:val="00395CAD"/>
    <w:rsid w:val="003B5E8E"/>
    <w:rsid w:val="003E5546"/>
    <w:rsid w:val="004341C0"/>
    <w:rsid w:val="00667336"/>
    <w:rsid w:val="0087292F"/>
    <w:rsid w:val="00874A72"/>
    <w:rsid w:val="008F14D6"/>
    <w:rsid w:val="009A19CF"/>
    <w:rsid w:val="009D6788"/>
    <w:rsid w:val="00D61D34"/>
    <w:rsid w:val="00D75C50"/>
    <w:rsid w:val="00EA406B"/>
    <w:rsid w:val="00FB0D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A7B40D"/>
  <w15:chartTrackingRefBased/>
  <w15:docId w15:val="{88D6DCD2-41A7-2C4C-8F7A-A6BA11F24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40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A40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A40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40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40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40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40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40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40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40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40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40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40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40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40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40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40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406B"/>
    <w:rPr>
      <w:rFonts w:eastAsiaTheme="majorEastAsia" w:cstheme="majorBidi"/>
      <w:color w:val="272727" w:themeColor="text1" w:themeTint="D8"/>
    </w:rPr>
  </w:style>
  <w:style w:type="paragraph" w:styleId="Title">
    <w:name w:val="Title"/>
    <w:basedOn w:val="Normal"/>
    <w:next w:val="Normal"/>
    <w:link w:val="TitleChar"/>
    <w:uiPriority w:val="10"/>
    <w:qFormat/>
    <w:rsid w:val="00EA4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4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40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40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406B"/>
    <w:pPr>
      <w:spacing w:before="160"/>
      <w:jc w:val="center"/>
    </w:pPr>
    <w:rPr>
      <w:i/>
      <w:iCs/>
      <w:color w:val="404040" w:themeColor="text1" w:themeTint="BF"/>
    </w:rPr>
  </w:style>
  <w:style w:type="character" w:customStyle="1" w:styleId="QuoteChar">
    <w:name w:val="Quote Char"/>
    <w:basedOn w:val="DefaultParagraphFont"/>
    <w:link w:val="Quote"/>
    <w:uiPriority w:val="29"/>
    <w:rsid w:val="00EA406B"/>
    <w:rPr>
      <w:i/>
      <w:iCs/>
      <w:color w:val="404040" w:themeColor="text1" w:themeTint="BF"/>
    </w:rPr>
  </w:style>
  <w:style w:type="paragraph" w:styleId="ListParagraph">
    <w:name w:val="List Paragraph"/>
    <w:basedOn w:val="Normal"/>
    <w:uiPriority w:val="34"/>
    <w:qFormat/>
    <w:rsid w:val="00EA406B"/>
    <w:pPr>
      <w:ind w:left="720"/>
      <w:contextualSpacing/>
    </w:pPr>
  </w:style>
  <w:style w:type="character" w:styleId="IntenseEmphasis">
    <w:name w:val="Intense Emphasis"/>
    <w:basedOn w:val="DefaultParagraphFont"/>
    <w:uiPriority w:val="21"/>
    <w:qFormat/>
    <w:rsid w:val="00EA406B"/>
    <w:rPr>
      <w:i/>
      <w:iCs/>
      <w:color w:val="0F4761" w:themeColor="accent1" w:themeShade="BF"/>
    </w:rPr>
  </w:style>
  <w:style w:type="paragraph" w:styleId="IntenseQuote">
    <w:name w:val="Intense Quote"/>
    <w:basedOn w:val="Normal"/>
    <w:next w:val="Normal"/>
    <w:link w:val="IntenseQuoteChar"/>
    <w:uiPriority w:val="30"/>
    <w:qFormat/>
    <w:rsid w:val="00EA40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406B"/>
    <w:rPr>
      <w:i/>
      <w:iCs/>
      <w:color w:val="0F4761" w:themeColor="accent1" w:themeShade="BF"/>
    </w:rPr>
  </w:style>
  <w:style w:type="character" w:styleId="IntenseReference">
    <w:name w:val="Intense Reference"/>
    <w:basedOn w:val="DefaultParagraphFont"/>
    <w:uiPriority w:val="32"/>
    <w:qFormat/>
    <w:rsid w:val="00EA406B"/>
    <w:rPr>
      <w:b/>
      <w:bCs/>
      <w:smallCaps/>
      <w:color w:val="0F4761" w:themeColor="accent1" w:themeShade="BF"/>
      <w:spacing w:val="5"/>
    </w:rPr>
  </w:style>
  <w:style w:type="paragraph" w:styleId="NormalWeb">
    <w:name w:val="Normal (Web)"/>
    <w:basedOn w:val="Normal"/>
    <w:uiPriority w:val="99"/>
    <w:semiHidden/>
    <w:unhideWhenUsed/>
    <w:rsid w:val="00EA406B"/>
    <w:pPr>
      <w:spacing w:before="100" w:beforeAutospacing="1" w:after="100" w:afterAutospacing="1" w:line="240" w:lineRule="auto"/>
    </w:pPr>
    <w:rPr>
      <w:rFonts w:ascii="Times New Roman" w:hAnsi="Times New Roman" w:cs="Times New Roman"/>
      <w:kern w:val="0"/>
      <w14:ligatures w14:val="none"/>
    </w:rPr>
  </w:style>
  <w:style w:type="paragraph" w:styleId="Header">
    <w:name w:val="header"/>
    <w:basedOn w:val="Normal"/>
    <w:link w:val="HeaderChar"/>
    <w:uiPriority w:val="99"/>
    <w:unhideWhenUsed/>
    <w:rsid w:val="003B5E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5E8E"/>
  </w:style>
  <w:style w:type="paragraph" w:styleId="Footer">
    <w:name w:val="footer"/>
    <w:basedOn w:val="Normal"/>
    <w:link w:val="FooterChar"/>
    <w:uiPriority w:val="99"/>
    <w:unhideWhenUsed/>
    <w:rsid w:val="003B5E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5E8E"/>
  </w:style>
  <w:style w:type="character" w:styleId="PageNumber">
    <w:name w:val="page number"/>
    <w:basedOn w:val="DefaultParagraphFont"/>
    <w:uiPriority w:val="99"/>
    <w:semiHidden/>
    <w:unhideWhenUsed/>
    <w:rsid w:val="004341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9820</Words>
  <Characters>55977</Characters>
  <Application>Microsoft Office Word</Application>
  <DocSecurity>0</DocSecurity>
  <Lines>466</Lines>
  <Paragraphs>131</Paragraphs>
  <ScaleCrop>false</ScaleCrop>
  <Company/>
  <LinksUpToDate>false</LinksUpToDate>
  <CharactersWithSpaces>65666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michaelbanigo575@gmail.com</dc:creator>
  <cp:keywords/>
  <dc:description/>
  <cp:lastModifiedBy>michaelbanigo575@gmail.com</cp:lastModifiedBy>
  <cp:revision>2</cp:revision>
  <dcterms:created xsi:type="dcterms:W3CDTF">2026-06-15T00:03:00Z</dcterms:created>
  <dcterms:modified xsi:type="dcterms:W3CDTF">2026-06-15T00:03:00Z</dcterms:modified>
</cp:coreProperties>
</file>